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240" w:lineRule="auto"/>
        <w:rPr>
          <w:rFonts w:hint="eastAsia" w:ascii="黑体" w:hAnsi="黑体"/>
          <w:sz w:val="72"/>
        </w:rPr>
      </w:pPr>
    </w:p>
    <w:p/>
    <w:p/>
    <w:p/>
    <w:p/>
    <w:p/>
    <w:p/>
    <w:p/>
    <w:p/>
    <w:p>
      <w:pPr>
        <w:rPr>
          <w:rFonts w:hint="eastAsia"/>
        </w:rPr>
      </w:pPr>
    </w:p>
    <w:p>
      <w:pPr>
        <w:jc w:val="center"/>
        <w:rPr>
          <w:rFonts w:hint="eastAsia" w:ascii="黑体" w:hAnsi="黑体" w:eastAsia="黑体"/>
          <w:b/>
          <w:kern w:val="0"/>
          <w:sz w:val="56"/>
          <w:szCs w:val="72"/>
          <w:lang w:val="en-US" w:eastAsia="zh-CN"/>
        </w:rPr>
      </w:pPr>
      <w:r>
        <w:rPr>
          <w:rFonts w:hint="eastAsia" w:ascii="黑体" w:hAnsi="黑体" w:eastAsia="黑体"/>
          <w:b/>
          <w:kern w:val="0"/>
          <w:sz w:val="56"/>
          <w:szCs w:val="72"/>
          <w:lang w:val="en-US"/>
        </w:rPr>
        <w:t>河北省电子口岸信息</w:t>
      </w:r>
      <w:r>
        <w:rPr>
          <w:rFonts w:hint="eastAsia" w:ascii="黑体" w:hAnsi="黑体" w:eastAsia="黑体"/>
          <w:b/>
          <w:kern w:val="0"/>
          <w:sz w:val="56"/>
          <w:szCs w:val="72"/>
          <w:lang w:val="en-US" w:eastAsia="zh-CN"/>
        </w:rPr>
        <w:t>2019年</w:t>
      </w:r>
      <w:r>
        <w:rPr>
          <w:rFonts w:hint="eastAsia" w:ascii="黑体" w:hAnsi="黑体" w:eastAsia="黑体"/>
          <w:b/>
          <w:kern w:val="0"/>
          <w:sz w:val="56"/>
          <w:szCs w:val="72"/>
          <w:lang w:val="en-US"/>
        </w:rPr>
        <w:t>安全等级保护测评项目</w:t>
      </w:r>
      <w:r>
        <w:rPr>
          <w:rFonts w:hint="eastAsia" w:ascii="黑体" w:hAnsi="黑体" w:eastAsia="黑体"/>
          <w:b/>
          <w:kern w:val="0"/>
          <w:sz w:val="56"/>
          <w:szCs w:val="72"/>
          <w:lang w:val="en-US" w:eastAsia="zh-CN"/>
        </w:rPr>
        <w:t>比选文件</w:t>
      </w:r>
    </w:p>
    <w:p>
      <w:pPr>
        <w:pStyle w:val="10"/>
        <w:spacing w:line="360" w:lineRule="auto"/>
        <w:ind w:firstLine="480"/>
        <w:rPr>
          <w:rFonts w:eastAsia="宋体"/>
          <w:sz w:val="72"/>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rFonts w:hint="eastAsia"/>
          <w:b/>
          <w:sz w:val="44"/>
          <w:szCs w:val="44"/>
        </w:rPr>
      </w:pPr>
    </w:p>
    <w:p>
      <w:pPr>
        <w:jc w:val="center"/>
        <w:rPr>
          <w:rFonts w:hint="eastAsia" w:ascii="黑体" w:hAnsi="黑体" w:eastAsia="黑体"/>
          <w:b/>
          <w:sz w:val="32"/>
          <w:szCs w:val="32"/>
        </w:rPr>
      </w:pPr>
    </w:p>
    <w:p>
      <w:pPr>
        <w:pStyle w:val="3"/>
        <w:ind w:left="99" w:leftChars="47"/>
        <w:jc w:val="center"/>
      </w:pPr>
      <w:r>
        <w:t>201</w:t>
      </w:r>
      <w:r>
        <w:rPr>
          <w:rFonts w:hint="eastAsia"/>
          <w:lang w:val="en-US" w:eastAsia="zh-CN"/>
        </w:rPr>
        <w:t>9</w:t>
      </w:r>
      <w:r>
        <w:t>年</w:t>
      </w:r>
      <w:r>
        <w:rPr>
          <w:rFonts w:hint="eastAsia"/>
          <w:lang w:val="en-US" w:eastAsia="zh-CN"/>
        </w:rPr>
        <w:t>10</w:t>
      </w:r>
      <w:bookmarkStart w:id="1" w:name="_GoBack"/>
      <w:bookmarkEnd w:id="1"/>
      <w:r>
        <w:rPr>
          <w:rFonts w:hint="eastAsia"/>
        </w:rPr>
        <w:t>月</w:t>
      </w:r>
    </w:p>
    <w:p>
      <w:pPr>
        <w:jc w:val="center"/>
      </w:pPr>
    </w:p>
    <w:p>
      <w:pPr>
        <w:jc w:val="center"/>
      </w:pPr>
    </w:p>
    <w:p>
      <w:pPr>
        <w:jc w:val="center"/>
      </w:pPr>
    </w:p>
    <w:p>
      <w:pPr>
        <w:jc w:val="center"/>
      </w:pPr>
    </w:p>
    <w:p>
      <w:pPr>
        <w:jc w:val="center"/>
      </w:pPr>
    </w:p>
    <w:p>
      <w:pPr>
        <w:jc w:val="center"/>
      </w:pPr>
    </w:p>
    <w:p>
      <w:pPr>
        <w:jc w:val="center"/>
      </w:pPr>
    </w:p>
    <w:p>
      <w:pPr>
        <w:spacing w:line="360" w:lineRule="auto"/>
        <w:rPr>
          <w:rFonts w:hint="eastAsia" w:ascii="黑体" w:hAnsi="黑体" w:eastAsia="黑体"/>
          <w:b/>
          <w:sz w:val="28"/>
        </w:rPr>
        <w:sectPr>
          <w:pgSz w:w="11906" w:h="16838"/>
          <w:pgMar w:top="1440" w:right="1800" w:bottom="1440" w:left="1800" w:header="851" w:footer="992" w:gutter="0"/>
          <w:pgNumType w:fmt="numberInDash" w:start="1"/>
          <w:cols w:space="425" w:num="1"/>
          <w:docGrid w:type="lines" w:linePitch="312" w:charSpace="0"/>
        </w:sectPr>
      </w:pPr>
    </w:p>
    <w:p>
      <w:pPr>
        <w:spacing w:line="360" w:lineRule="auto"/>
        <w:rPr>
          <w:rFonts w:hint="eastAsia" w:ascii="黑体" w:hAnsi="黑体" w:eastAsia="黑体"/>
          <w:b/>
          <w:sz w:val="28"/>
        </w:rPr>
      </w:pPr>
      <w:r>
        <w:rPr>
          <w:rFonts w:hint="eastAsia" w:ascii="黑体" w:hAnsi="黑体" w:eastAsia="黑体"/>
          <w:b/>
          <w:sz w:val="28"/>
        </w:rPr>
        <w:t>一、投标人资质要求</w:t>
      </w:r>
    </w:p>
    <w:p>
      <w:pPr>
        <w:spacing w:line="360" w:lineRule="auto"/>
        <w:ind w:firstLine="420"/>
        <w:rPr>
          <w:rFonts w:hint="eastAsia" w:ascii="Arial" w:hAnsi="Arial" w:cs="Arial"/>
          <w:sz w:val="24"/>
        </w:rPr>
      </w:pPr>
      <w:r>
        <w:rPr>
          <w:rFonts w:hint="eastAsia" w:ascii="Arial" w:hAnsi="Arial" w:cs="Arial"/>
          <w:sz w:val="24"/>
        </w:rPr>
        <w:t>*1、具备省级及以上信息安全等级保护工作协调领导小组办公室颁发的《信息安全等级保护测评机构推荐证书》。</w:t>
      </w:r>
    </w:p>
    <w:p>
      <w:pPr>
        <w:spacing w:line="360" w:lineRule="auto"/>
        <w:ind w:firstLine="420"/>
        <w:rPr>
          <w:rFonts w:hint="eastAsia" w:ascii="Arial" w:hAnsi="Arial" w:cs="Arial"/>
          <w:b/>
          <w:sz w:val="24"/>
        </w:rPr>
      </w:pPr>
      <w:r>
        <w:rPr>
          <w:rFonts w:hint="eastAsia" w:ascii="Arial" w:hAnsi="Arial" w:cs="Arial"/>
          <w:sz w:val="24"/>
        </w:rPr>
        <w:t>*2、投标人应当具有满足等级测评工作的专业技术人员和管理人员，其中</w:t>
      </w:r>
      <w:r>
        <w:rPr>
          <w:rFonts w:hint="eastAsia" w:ascii="Arial" w:hAnsi="Arial" w:cs="Arial"/>
          <w:b/>
          <w:sz w:val="24"/>
        </w:rPr>
        <w:t>信息安全高级测评师不低于1</w:t>
      </w:r>
      <w:r>
        <w:rPr>
          <w:rFonts w:hint="eastAsia" w:ascii="Arial" w:hAnsi="Arial" w:cs="Arial"/>
          <w:b/>
          <w:color w:val="000000"/>
          <w:sz w:val="24"/>
        </w:rPr>
        <w:t>人</w:t>
      </w:r>
      <w:r>
        <w:rPr>
          <w:rFonts w:hint="eastAsia" w:ascii="Arial" w:hAnsi="Arial" w:cs="Arial"/>
          <w:b/>
          <w:sz w:val="24"/>
        </w:rPr>
        <w:t>（可从“中国信息安全等级保护网www.djbh.net”-“测评机构”中查询，并提供相关截图）。</w:t>
      </w:r>
    </w:p>
    <w:p>
      <w:pPr>
        <w:spacing w:line="360" w:lineRule="auto"/>
        <w:ind w:firstLine="420"/>
        <w:rPr>
          <w:rFonts w:hint="default" w:ascii="Arial" w:hAnsi="Arial" w:cs="Arial" w:eastAsiaTheme="minorEastAsia"/>
          <w:b/>
          <w:sz w:val="24"/>
          <w:lang w:val="en-US" w:eastAsia="zh-CN"/>
        </w:rPr>
      </w:pPr>
      <w:r>
        <w:rPr>
          <w:rFonts w:hint="eastAsia" w:ascii="Arial" w:hAnsi="Arial" w:cs="Arial"/>
          <w:b/>
          <w:sz w:val="24"/>
          <w:lang w:val="en-US" w:eastAsia="zh-CN"/>
        </w:rPr>
        <w:t>*</w:t>
      </w:r>
      <w:r>
        <w:rPr>
          <w:rFonts w:hint="eastAsia" w:ascii="Arial" w:hAnsi="Arial" w:cs="Arial"/>
          <w:sz w:val="24"/>
          <w:lang w:val="en-US" w:eastAsia="zh-CN"/>
        </w:rPr>
        <w:t>3、</w:t>
      </w:r>
      <w:r>
        <w:rPr>
          <w:rFonts w:hint="eastAsia" w:ascii="Arial" w:hAnsi="Arial" w:cs="Arial"/>
          <w:sz w:val="24"/>
        </w:rPr>
        <w:t>本项目的投标最高限价为</w:t>
      </w:r>
      <w:r>
        <w:rPr>
          <w:rFonts w:hint="eastAsia" w:ascii="Arial" w:hAnsi="Arial" w:cs="Arial"/>
          <w:sz w:val="24"/>
          <w:lang w:val="en-US" w:eastAsia="zh-CN"/>
        </w:rPr>
        <w:t>60</w:t>
      </w:r>
      <w:r>
        <w:rPr>
          <w:rFonts w:hint="eastAsia" w:ascii="Arial" w:hAnsi="Arial" w:cs="Arial"/>
          <w:sz w:val="24"/>
        </w:rPr>
        <w:t>000.00 元。投标人报价不得超过上述投标最高限价，否则按无效投标处理。</w:t>
      </w:r>
    </w:p>
    <w:p>
      <w:pPr>
        <w:spacing w:line="360" w:lineRule="auto"/>
        <w:ind w:firstLine="420"/>
        <w:rPr>
          <w:rFonts w:hint="eastAsia" w:ascii="Arial" w:hAnsi="Arial" w:cs="Arial"/>
          <w:sz w:val="24"/>
        </w:rPr>
      </w:pPr>
      <w:r>
        <w:rPr>
          <w:rFonts w:hint="eastAsia" w:ascii="宋体" w:hAnsi="宋体"/>
          <w:b/>
          <w:sz w:val="24"/>
        </w:rPr>
        <w:t>以上资质带“*”的条款为必须满足项。</w:t>
      </w:r>
    </w:p>
    <w:p>
      <w:pPr>
        <w:spacing w:line="360" w:lineRule="auto"/>
        <w:rPr>
          <w:rFonts w:hint="eastAsia" w:ascii="黑体" w:hAnsi="黑体" w:eastAsia="黑体"/>
          <w:b/>
          <w:sz w:val="28"/>
        </w:rPr>
      </w:pPr>
      <w:r>
        <w:rPr>
          <w:rFonts w:hint="eastAsia" w:ascii="黑体" w:hAnsi="黑体" w:eastAsia="黑体"/>
          <w:b/>
          <w:sz w:val="28"/>
        </w:rPr>
        <w:t>二、技术要求</w:t>
      </w:r>
    </w:p>
    <w:p>
      <w:pPr>
        <w:spacing w:line="360" w:lineRule="auto"/>
        <w:rPr>
          <w:rFonts w:ascii="Arial" w:hAnsi="Arial" w:eastAsia="黑体" w:cs="Arial"/>
          <w:b/>
          <w:sz w:val="24"/>
        </w:rPr>
      </w:pPr>
      <w:r>
        <w:rPr>
          <w:rFonts w:hint="eastAsia" w:ascii="Arial" w:hAnsi="Arial" w:eastAsia="黑体" w:cs="Arial"/>
          <w:b/>
          <w:sz w:val="24"/>
        </w:rPr>
        <w:t>1、项目概况</w:t>
      </w:r>
    </w:p>
    <w:p>
      <w:pPr>
        <w:spacing w:line="360" w:lineRule="auto"/>
        <w:ind w:firstLine="420"/>
        <w:rPr>
          <w:rFonts w:hint="eastAsia" w:ascii="Arial" w:hAnsi="Arial" w:eastAsia="黑体" w:cs="Arial"/>
          <w:b/>
          <w:sz w:val="24"/>
        </w:rPr>
      </w:pPr>
      <w:r>
        <w:rPr>
          <w:rFonts w:hint="eastAsia" w:ascii="Arial" w:hAnsi="Arial" w:cs="Arial"/>
          <w:sz w:val="24"/>
        </w:rPr>
        <w:t>2017 年6 月1 日起，《网络安全法》正式实施，其中，第21 条明确规定，“国家实行网络安全等级保护制度。网络运营者应当按照网络安全等级保护制度的要求，履行下列安全保护义务，保障网络免受干扰、破坏或者未经授权的访问，防止网络数据泄露或者被窃取、篡改”。相关的文件均要求重要信息系统需尽快开展等级保护相关工作，以增加系统安全的规范性和有效性，提高用户的安全意识，增强网络的抗攻击的能力，保证被测系统正常运转。</w:t>
      </w:r>
    </w:p>
    <w:p>
      <w:pPr>
        <w:spacing w:line="360" w:lineRule="auto"/>
        <w:ind w:firstLine="420"/>
        <w:rPr>
          <w:rFonts w:ascii="Arial" w:hAnsi="Arial" w:cs="Arial"/>
          <w:sz w:val="24"/>
        </w:rPr>
      </w:pPr>
      <w:r>
        <w:rPr>
          <w:rFonts w:hint="eastAsia" w:ascii="Arial" w:hAnsi="Arial" w:cs="Arial"/>
          <w:sz w:val="24"/>
        </w:rPr>
        <w:t>本项目主要针对本单位的商务诚信系统的运行环境、应用架构、网络结构、安全控制、运行维护、操作规程、信息安全保障体系等各个环节做一次全面的评测分析。通过评测，分析定位信息系统安全风险和薄弱环节，制定信息系统安全风险管理策略，健全信息安全管理和保障体系，完善规章制度和操作流程。</w:t>
      </w:r>
    </w:p>
    <w:p>
      <w:pPr>
        <w:spacing w:line="360" w:lineRule="auto"/>
        <w:rPr>
          <w:rFonts w:hint="eastAsia" w:ascii="Arial" w:hAnsi="Arial" w:eastAsia="黑体" w:cs="Arial"/>
          <w:b/>
          <w:sz w:val="24"/>
        </w:rPr>
      </w:pPr>
      <w:r>
        <w:rPr>
          <w:rFonts w:hint="eastAsia" w:ascii="Arial" w:hAnsi="Arial" w:eastAsia="黑体" w:cs="Arial"/>
          <w:b/>
          <w:sz w:val="24"/>
        </w:rPr>
        <w:t>2、特别说明</w:t>
      </w:r>
    </w:p>
    <w:p>
      <w:pPr>
        <w:spacing w:line="360" w:lineRule="auto"/>
        <w:ind w:firstLine="420"/>
        <w:rPr>
          <w:rFonts w:hint="eastAsia" w:ascii="Arial" w:hAnsi="Arial" w:cs="Arial"/>
          <w:sz w:val="24"/>
        </w:rPr>
      </w:pPr>
      <w:r>
        <w:rPr>
          <w:rFonts w:hint="eastAsia" w:ascii="Arial" w:hAnsi="Arial" w:cs="Arial"/>
          <w:sz w:val="24"/>
        </w:rPr>
        <w:t>本招标文件中的所有内容仅供投标人了解本项目实施的要求所用，所有权属于招标方，未经许可，投标人不得以任何形式将有关的内容透露给任何第三方，同时，投标人同意采取有效措施，保证其接触本文件的人员不得对外披露和散布本文件涉及的有关信息和内容。</w:t>
      </w:r>
    </w:p>
    <w:p>
      <w:pPr>
        <w:spacing w:line="360" w:lineRule="auto"/>
        <w:rPr>
          <w:rFonts w:ascii="Arial" w:hAnsi="Arial" w:eastAsia="黑体" w:cs="Arial"/>
          <w:b/>
          <w:sz w:val="24"/>
        </w:rPr>
      </w:pPr>
      <w:r>
        <w:rPr>
          <w:rFonts w:hint="eastAsia" w:ascii="Arial" w:hAnsi="Arial" w:eastAsia="黑体" w:cs="Arial"/>
          <w:b/>
          <w:sz w:val="24"/>
        </w:rPr>
        <w:t>3、测评目的</w:t>
      </w:r>
    </w:p>
    <w:p>
      <w:pPr>
        <w:spacing w:line="360" w:lineRule="auto"/>
        <w:ind w:firstLine="420"/>
        <w:rPr>
          <w:rFonts w:ascii="Arial" w:hAnsi="Arial" w:cs="Arial"/>
          <w:sz w:val="24"/>
        </w:rPr>
      </w:pPr>
      <w:r>
        <w:rPr>
          <w:rFonts w:hint="eastAsia" w:ascii="Arial" w:hAnsi="Arial" w:cs="Arial"/>
          <w:sz w:val="24"/>
        </w:rPr>
        <w:t>本招标的宗旨在于通过对被测系统物理环境、网络设备、服务器群以及应用软件系统实施等级保护测评，明确该系统的安全建设现状，找出存在的安全风险，分析安全建设差距，提出安全整改建议，并以此为基础，进一步制定安全建设整改方案，完善保护措施，使该系统满足我国关于等级保护相应级别的具体要求。</w:t>
      </w:r>
    </w:p>
    <w:p>
      <w:pPr>
        <w:jc w:val="left"/>
        <w:rPr>
          <w:rFonts w:ascii="Arial" w:hAnsi="Arial" w:eastAsia="黑体" w:cs="Arial"/>
          <w:b/>
          <w:sz w:val="24"/>
        </w:rPr>
      </w:pPr>
      <w:r>
        <w:rPr>
          <w:rFonts w:hint="eastAsia" w:ascii="Arial" w:hAnsi="Arial" w:eastAsia="黑体" w:cs="Arial"/>
          <w:b/>
          <w:sz w:val="24"/>
        </w:rPr>
        <w:t>4、参照标准</w:t>
      </w:r>
    </w:p>
    <w:p>
      <w:pPr>
        <w:autoSpaceDN w:val="0"/>
        <w:spacing w:line="360" w:lineRule="auto"/>
        <w:ind w:firstLine="480" w:firstLineChars="200"/>
        <w:rPr>
          <w:rFonts w:hint="eastAsia" w:ascii="宋体" w:hAnsi="宋体"/>
          <w:sz w:val="24"/>
        </w:rPr>
      </w:pPr>
      <w:r>
        <w:rPr>
          <w:rFonts w:hint="eastAsia" w:ascii="宋体" w:hAnsi="宋体"/>
          <w:sz w:val="24"/>
        </w:rPr>
        <w:t>中标人应依据国家等级保护相关标准开展工作，依据标准包括但不限于如下国家标准：</w:t>
      </w:r>
    </w:p>
    <w:p>
      <w:pPr>
        <w:numPr>
          <w:ilvl w:val="0"/>
          <w:numId w:val="1"/>
        </w:numPr>
        <w:spacing w:line="360" w:lineRule="auto"/>
        <w:rPr>
          <w:rFonts w:ascii="Arial" w:hAnsi="Arial" w:cs="Arial"/>
          <w:sz w:val="24"/>
        </w:rPr>
      </w:pPr>
      <w:r>
        <w:rPr>
          <w:rFonts w:ascii="Arial" w:hAnsi="Arial" w:cs="Arial"/>
          <w:sz w:val="24"/>
        </w:rPr>
        <w:t>《计算机信息系统安全保护等级划分准则》（GB17859-1999）</w:t>
      </w:r>
    </w:p>
    <w:p>
      <w:pPr>
        <w:numPr>
          <w:ilvl w:val="0"/>
          <w:numId w:val="1"/>
        </w:numPr>
        <w:spacing w:line="360" w:lineRule="auto"/>
        <w:rPr>
          <w:rFonts w:ascii="Arial" w:hAnsi="Arial" w:cs="Arial"/>
          <w:sz w:val="24"/>
        </w:rPr>
      </w:pPr>
      <w:r>
        <w:rPr>
          <w:rFonts w:ascii="Arial" w:hAnsi="Arial" w:cs="Arial"/>
          <w:sz w:val="24"/>
        </w:rPr>
        <w:t>《信息系统安全保护等级定级指南》（GB/T 22240-2008）</w:t>
      </w:r>
    </w:p>
    <w:p>
      <w:pPr>
        <w:numPr>
          <w:ilvl w:val="0"/>
          <w:numId w:val="1"/>
        </w:numPr>
        <w:spacing w:line="360" w:lineRule="auto"/>
        <w:rPr>
          <w:rFonts w:ascii="Arial" w:hAnsi="Arial" w:cs="Arial"/>
          <w:sz w:val="24"/>
        </w:rPr>
      </w:pPr>
      <w:r>
        <w:rPr>
          <w:rFonts w:ascii="Arial" w:hAnsi="Arial" w:cs="Arial"/>
          <w:sz w:val="24"/>
        </w:rPr>
        <w:t>《信息系统安全等级保护实施指南》（GB/T 25058-2010 ）</w:t>
      </w:r>
    </w:p>
    <w:p>
      <w:pPr>
        <w:numPr>
          <w:ilvl w:val="0"/>
          <w:numId w:val="1"/>
        </w:numPr>
        <w:spacing w:line="360" w:lineRule="auto"/>
        <w:rPr>
          <w:rFonts w:ascii="Arial" w:hAnsi="Arial" w:cs="Arial"/>
          <w:sz w:val="24"/>
        </w:rPr>
      </w:pPr>
      <w:r>
        <w:rPr>
          <w:rFonts w:ascii="Arial" w:hAnsi="Arial" w:cs="Arial"/>
          <w:sz w:val="24"/>
        </w:rPr>
        <w:t>《信息系统安全等级保护基本要求》（GB/T 22239-2008）</w:t>
      </w:r>
    </w:p>
    <w:p>
      <w:pPr>
        <w:numPr>
          <w:ilvl w:val="0"/>
          <w:numId w:val="1"/>
        </w:numPr>
        <w:spacing w:line="360" w:lineRule="auto"/>
        <w:rPr>
          <w:rFonts w:ascii="Arial" w:hAnsi="Arial" w:cs="Arial"/>
          <w:sz w:val="24"/>
        </w:rPr>
      </w:pPr>
      <w:r>
        <w:rPr>
          <w:rFonts w:ascii="Arial" w:hAnsi="Arial" w:cs="Arial"/>
          <w:sz w:val="24"/>
        </w:rPr>
        <w:t>《信息系统安全等级保护测评要求》（GB/T 28448-2012）</w:t>
      </w:r>
    </w:p>
    <w:p>
      <w:pPr>
        <w:numPr>
          <w:ilvl w:val="0"/>
          <w:numId w:val="1"/>
        </w:numPr>
        <w:spacing w:line="360" w:lineRule="auto"/>
        <w:rPr>
          <w:rFonts w:ascii="Arial" w:hAnsi="Arial" w:cs="Arial"/>
          <w:sz w:val="24"/>
        </w:rPr>
      </w:pPr>
      <w:r>
        <w:rPr>
          <w:rFonts w:ascii="Arial" w:hAnsi="Arial" w:cs="Arial"/>
          <w:sz w:val="24"/>
        </w:rPr>
        <w:t>《信息系统安全等级保护测评过程指南》（GB/T 28449-2012）</w:t>
      </w:r>
    </w:p>
    <w:p>
      <w:pPr>
        <w:numPr>
          <w:ilvl w:val="0"/>
          <w:numId w:val="1"/>
        </w:numPr>
        <w:spacing w:line="360" w:lineRule="auto"/>
        <w:rPr>
          <w:rFonts w:ascii="Arial" w:hAnsi="Arial" w:cs="Arial"/>
          <w:sz w:val="24"/>
        </w:rPr>
      </w:pPr>
      <w:r>
        <w:rPr>
          <w:rFonts w:ascii="Arial" w:hAnsi="Arial" w:cs="Arial"/>
          <w:sz w:val="24"/>
        </w:rPr>
        <w:t>《信息技术安全技术信息安全管理体系要求》（GB/T22080-2008）</w:t>
      </w:r>
    </w:p>
    <w:p>
      <w:pPr>
        <w:numPr>
          <w:ilvl w:val="0"/>
          <w:numId w:val="1"/>
        </w:numPr>
        <w:spacing w:line="360" w:lineRule="auto"/>
        <w:rPr>
          <w:rFonts w:ascii="Arial" w:hAnsi="Arial" w:cs="Arial"/>
          <w:sz w:val="24"/>
        </w:rPr>
      </w:pPr>
      <w:r>
        <w:rPr>
          <w:rFonts w:ascii="Arial" w:hAnsi="Arial" w:cs="Arial"/>
          <w:sz w:val="24"/>
        </w:rPr>
        <w:t>《计算机信息系统安全等级保护通用技术要求》（GAT 390-2002）</w:t>
      </w:r>
    </w:p>
    <w:p>
      <w:pPr>
        <w:numPr>
          <w:ilvl w:val="0"/>
          <w:numId w:val="1"/>
        </w:numPr>
        <w:spacing w:line="360" w:lineRule="auto"/>
        <w:rPr>
          <w:rFonts w:ascii="Arial" w:hAnsi="Arial" w:cs="Arial"/>
          <w:sz w:val="24"/>
        </w:rPr>
      </w:pPr>
      <w:r>
        <w:rPr>
          <w:rFonts w:ascii="Arial" w:hAnsi="Arial" w:cs="Arial"/>
          <w:sz w:val="24"/>
        </w:rPr>
        <w:t>《信息安全技术信息系统安全管理要求》（GB/T 20269-2006）</w:t>
      </w:r>
    </w:p>
    <w:p>
      <w:pPr>
        <w:numPr>
          <w:ilvl w:val="0"/>
          <w:numId w:val="1"/>
        </w:numPr>
        <w:spacing w:line="360" w:lineRule="auto"/>
        <w:rPr>
          <w:rFonts w:ascii="Arial" w:hAnsi="Arial" w:cs="Arial"/>
          <w:sz w:val="24"/>
        </w:rPr>
      </w:pPr>
      <w:r>
        <w:rPr>
          <w:rFonts w:ascii="Arial" w:hAnsi="Arial" w:cs="Arial"/>
          <w:sz w:val="24"/>
        </w:rPr>
        <w:t>《信息系统安全工程管理要求》（GB/T20282-2006）</w:t>
      </w:r>
    </w:p>
    <w:p>
      <w:pPr>
        <w:numPr>
          <w:ilvl w:val="0"/>
          <w:numId w:val="1"/>
        </w:numPr>
        <w:spacing w:line="360" w:lineRule="auto"/>
        <w:rPr>
          <w:rFonts w:ascii="Arial" w:hAnsi="Arial" w:cs="Arial"/>
          <w:sz w:val="24"/>
        </w:rPr>
      </w:pPr>
      <w:r>
        <w:rPr>
          <w:rFonts w:ascii="Arial" w:hAnsi="Arial" w:cs="Arial"/>
          <w:sz w:val="24"/>
        </w:rPr>
        <w:t>《信息系统等级保护安全设计技术要求》（GB/T 25070-2010 ）</w:t>
      </w:r>
    </w:p>
    <w:p>
      <w:pPr>
        <w:numPr>
          <w:ilvl w:val="0"/>
          <w:numId w:val="1"/>
        </w:numPr>
        <w:spacing w:line="360" w:lineRule="auto"/>
        <w:rPr>
          <w:rFonts w:hint="eastAsia" w:ascii="Arial" w:hAnsi="Arial" w:cs="Arial"/>
          <w:sz w:val="24"/>
        </w:rPr>
      </w:pPr>
      <w:r>
        <w:rPr>
          <w:rFonts w:ascii="Arial" w:hAnsi="Arial" w:cs="Arial"/>
          <w:sz w:val="24"/>
        </w:rPr>
        <w:t>《信息安全技术信息安全风险评估规范》（GB/T 20984-2007）</w:t>
      </w:r>
    </w:p>
    <w:p>
      <w:pPr>
        <w:spacing w:line="360" w:lineRule="auto"/>
        <w:rPr>
          <w:rFonts w:hint="eastAsia" w:ascii="黑体" w:hAnsi="黑体" w:eastAsia="黑体"/>
          <w:b/>
          <w:sz w:val="28"/>
        </w:rPr>
      </w:pPr>
      <w:r>
        <w:rPr>
          <w:rFonts w:hint="eastAsia" w:ascii="黑体" w:hAnsi="黑体" w:eastAsia="黑体"/>
          <w:b/>
          <w:sz w:val="28"/>
        </w:rPr>
        <w:t>5、测评内容与流程</w:t>
      </w:r>
    </w:p>
    <w:p>
      <w:pPr>
        <w:spacing w:line="360" w:lineRule="auto"/>
        <w:rPr>
          <w:rFonts w:ascii="Arial" w:hAnsi="Arial" w:eastAsia="黑体" w:cs="Arial"/>
          <w:b/>
          <w:sz w:val="24"/>
        </w:rPr>
      </w:pPr>
      <w:r>
        <w:rPr>
          <w:rFonts w:hint="eastAsia" w:ascii="Arial" w:hAnsi="Arial" w:eastAsia="黑体" w:cs="Arial"/>
          <w:b/>
          <w:sz w:val="24"/>
        </w:rPr>
        <w:t>5</w:t>
      </w:r>
      <w:r>
        <w:rPr>
          <w:rFonts w:ascii="Arial" w:hAnsi="Arial" w:eastAsia="黑体" w:cs="Arial"/>
          <w:b/>
          <w:sz w:val="24"/>
        </w:rPr>
        <w:t>.1信息系统备案</w:t>
      </w:r>
    </w:p>
    <w:p>
      <w:pPr>
        <w:spacing w:line="360" w:lineRule="auto"/>
        <w:ind w:firstLine="420"/>
        <w:rPr>
          <w:rFonts w:ascii="Arial" w:hAnsi="Arial" w:cs="Arial"/>
          <w:sz w:val="24"/>
        </w:rPr>
      </w:pPr>
      <w:r>
        <w:rPr>
          <w:rFonts w:ascii="Arial" w:hAnsi="Arial" w:cs="Arial"/>
          <w:sz w:val="24"/>
        </w:rPr>
        <w:t>协助招标方按照《信息安全等级保护备案实施细则》（公信安[2007]1360号）文件要求完成定级、备案材料的整理及在公安机关相关部门备案工作。</w:t>
      </w:r>
    </w:p>
    <w:p>
      <w:pPr>
        <w:spacing w:line="360" w:lineRule="auto"/>
        <w:rPr>
          <w:rFonts w:ascii="Arial" w:hAnsi="Arial" w:eastAsia="黑体" w:cs="Arial"/>
          <w:b/>
          <w:sz w:val="24"/>
        </w:rPr>
      </w:pPr>
      <w:r>
        <w:rPr>
          <w:rFonts w:hint="eastAsia" w:ascii="Arial" w:hAnsi="Arial" w:eastAsia="黑体" w:cs="Arial"/>
          <w:b/>
          <w:sz w:val="24"/>
        </w:rPr>
        <w:t>5</w:t>
      </w:r>
      <w:r>
        <w:rPr>
          <w:rFonts w:ascii="Arial" w:hAnsi="Arial" w:eastAsia="黑体" w:cs="Arial"/>
          <w:b/>
          <w:sz w:val="24"/>
        </w:rPr>
        <w:t>.</w:t>
      </w:r>
      <w:r>
        <w:rPr>
          <w:rFonts w:hint="eastAsia" w:ascii="Arial" w:hAnsi="Arial" w:eastAsia="黑体" w:cs="Arial"/>
          <w:b/>
          <w:sz w:val="24"/>
        </w:rPr>
        <w:t>2初次</w:t>
      </w:r>
      <w:r>
        <w:rPr>
          <w:rFonts w:ascii="Arial" w:hAnsi="Arial" w:eastAsia="黑体" w:cs="Arial"/>
          <w:b/>
          <w:sz w:val="24"/>
        </w:rPr>
        <w:t>测评</w:t>
      </w:r>
    </w:p>
    <w:p>
      <w:pPr>
        <w:spacing w:line="360" w:lineRule="auto"/>
        <w:ind w:firstLine="420"/>
        <w:rPr>
          <w:rFonts w:hint="eastAsia" w:ascii="Arial" w:hAnsi="Arial" w:cs="Arial"/>
          <w:sz w:val="24"/>
        </w:rPr>
      </w:pPr>
      <w:r>
        <w:rPr>
          <w:rFonts w:hint="eastAsia" w:ascii="Arial" w:hAnsi="Arial" w:cs="Arial"/>
          <w:sz w:val="24"/>
        </w:rPr>
        <w:t>检查被测系统现状，参照《信息系统安全等级保护基本要求》（GB/T 22239-2008）从物理安全、网络安全、主机安全、应用安全、数据安全和安全管理等层面进行差距分析，依据《信息系统等级保护安全设计技术要求》（GB/T 25070-2010 ），对系统进行初次安全评估。</w:t>
      </w:r>
    </w:p>
    <w:p>
      <w:pPr>
        <w:spacing w:line="360" w:lineRule="auto"/>
        <w:ind w:firstLine="420"/>
        <w:rPr>
          <w:rFonts w:ascii="Arial" w:hAnsi="Arial" w:cs="Arial"/>
          <w:sz w:val="24"/>
        </w:rPr>
      </w:pPr>
      <w:r>
        <w:rPr>
          <w:rFonts w:hint="eastAsia" w:ascii="Arial" w:hAnsi="Arial" w:cs="Arial"/>
          <w:sz w:val="24"/>
        </w:rPr>
        <w:t>通过对系统现状的分析和梳理，发现系统现有安全措施与等级保护基本要求的差距，提出安全整改建议，以指导后续安全整改工作。</w:t>
      </w:r>
    </w:p>
    <w:p>
      <w:pPr>
        <w:spacing w:line="360" w:lineRule="auto"/>
        <w:rPr>
          <w:rFonts w:ascii="Arial" w:hAnsi="Arial" w:cs="Arial"/>
          <w:sz w:val="24"/>
        </w:rPr>
      </w:pPr>
      <w:r>
        <w:rPr>
          <w:rFonts w:ascii="Arial" w:hAnsi="Arial" w:cs="Arial"/>
          <w:sz w:val="24"/>
        </w:rPr>
        <w:t xml:space="preserve">测评内容： </w:t>
      </w:r>
    </w:p>
    <w:p>
      <w:pPr>
        <w:spacing w:line="360" w:lineRule="auto"/>
        <w:ind w:firstLine="420"/>
        <w:rPr>
          <w:rFonts w:ascii="Arial" w:hAnsi="Arial" w:cs="Arial"/>
          <w:sz w:val="24"/>
        </w:rPr>
      </w:pPr>
      <w:r>
        <w:rPr>
          <w:rFonts w:ascii="Arial" w:hAnsi="Arial" w:cs="Arial"/>
          <w:b/>
          <w:sz w:val="24"/>
        </w:rPr>
        <w:t>物理环境测评：</w:t>
      </w:r>
      <w:r>
        <w:rPr>
          <w:rFonts w:ascii="Arial" w:hAnsi="Arial" w:cs="Arial"/>
          <w:sz w:val="24"/>
        </w:rPr>
        <w:t xml:space="preserve">包括位置、访问控制、防盗窃防破坏、防雷击、防火、防水和防潮、防静电、温湿度控制、电磁防护等内容。 </w:t>
      </w:r>
    </w:p>
    <w:p>
      <w:pPr>
        <w:jc w:val="left"/>
        <w:rPr>
          <w:rFonts w:ascii="Arial" w:hAnsi="Arial" w:cs="Arial"/>
          <w:sz w:val="24"/>
        </w:rPr>
      </w:pPr>
      <w:r>
        <w:rPr>
          <w:rFonts w:ascii="Arial" w:hAnsi="Arial" w:cs="Arial"/>
          <w:b/>
          <w:sz w:val="24"/>
        </w:rPr>
        <w:t>网络系统测评：</w:t>
      </w:r>
      <w:r>
        <w:rPr>
          <w:rFonts w:ascii="Arial" w:hAnsi="Arial" w:cs="Arial"/>
          <w:sz w:val="24"/>
        </w:rPr>
        <w:t>包括网络架构、网络访问控制、网络安全审计、边界完整性检查、网络入侵防范、网络恶意代码防范、网络设备防护等内容。</w:t>
      </w:r>
    </w:p>
    <w:p>
      <w:pPr>
        <w:spacing w:line="360" w:lineRule="auto"/>
        <w:ind w:firstLine="420"/>
        <w:rPr>
          <w:rFonts w:ascii="Arial" w:hAnsi="Arial" w:cs="Arial"/>
          <w:sz w:val="24"/>
        </w:rPr>
      </w:pPr>
      <w:r>
        <w:rPr>
          <w:rFonts w:ascii="Arial" w:hAnsi="Arial" w:cs="Arial"/>
          <w:b/>
          <w:sz w:val="24"/>
        </w:rPr>
        <w:t>主机与数据库测评：</w:t>
      </w:r>
      <w:r>
        <w:rPr>
          <w:rFonts w:ascii="Arial" w:hAnsi="Arial" w:cs="Arial"/>
          <w:sz w:val="24"/>
        </w:rPr>
        <w:t xml:space="preserve">身份鉴别、访问控制、安全审计、剩余信息保护、入侵防范、恶意代码防范、资源控制等内容。 </w:t>
      </w:r>
      <w:r>
        <w:rPr>
          <w:rFonts w:hint="eastAsia" w:ascii="Arial" w:hAnsi="Arial" w:cs="Arial"/>
          <w:sz w:val="24"/>
        </w:rPr>
        <w:tab/>
      </w:r>
    </w:p>
    <w:p>
      <w:pPr>
        <w:spacing w:line="360" w:lineRule="auto"/>
        <w:ind w:firstLine="420"/>
        <w:rPr>
          <w:rFonts w:ascii="Arial" w:hAnsi="Arial" w:cs="Arial"/>
          <w:sz w:val="24"/>
        </w:rPr>
      </w:pPr>
      <w:r>
        <w:rPr>
          <w:rFonts w:ascii="Arial" w:hAnsi="Arial" w:cs="Arial"/>
          <w:b/>
          <w:sz w:val="24"/>
        </w:rPr>
        <w:t>应用系统测评：</w:t>
      </w:r>
      <w:r>
        <w:rPr>
          <w:rFonts w:ascii="Arial" w:hAnsi="Arial" w:cs="Arial"/>
          <w:sz w:val="24"/>
        </w:rPr>
        <w:t xml:space="preserve">包括应用系统身份鉴别、应用系统访问控制、应用系统安全审计、剩余信息保护、通信完整性、通信保密性、抗抵赖、软件容错、资源控制等内容。 </w:t>
      </w:r>
    </w:p>
    <w:p>
      <w:pPr>
        <w:spacing w:line="360" w:lineRule="auto"/>
        <w:ind w:firstLine="420"/>
        <w:rPr>
          <w:rFonts w:ascii="Arial" w:hAnsi="Arial" w:cs="Arial"/>
          <w:sz w:val="24"/>
        </w:rPr>
      </w:pPr>
      <w:r>
        <w:rPr>
          <w:rFonts w:ascii="Arial" w:hAnsi="Arial" w:cs="Arial"/>
          <w:b/>
          <w:sz w:val="24"/>
        </w:rPr>
        <w:t>数据及备份恢复测评：</w:t>
      </w:r>
      <w:r>
        <w:rPr>
          <w:rFonts w:ascii="Arial" w:hAnsi="Arial" w:cs="Arial"/>
          <w:sz w:val="24"/>
        </w:rPr>
        <w:t xml:space="preserve">包括数据完整性、数据保密性、备份和恢复等内容。 </w:t>
      </w:r>
    </w:p>
    <w:p>
      <w:pPr>
        <w:spacing w:line="360" w:lineRule="auto"/>
        <w:ind w:firstLine="420"/>
        <w:rPr>
          <w:rFonts w:hint="eastAsia" w:ascii="Arial" w:hAnsi="Arial" w:cs="Arial"/>
          <w:sz w:val="24"/>
        </w:rPr>
      </w:pPr>
      <w:r>
        <w:rPr>
          <w:rFonts w:ascii="Arial" w:hAnsi="Arial" w:cs="Arial"/>
          <w:b/>
          <w:sz w:val="24"/>
        </w:rPr>
        <w:t>安全管理测评：</w:t>
      </w:r>
      <w:r>
        <w:rPr>
          <w:rFonts w:ascii="Arial" w:hAnsi="Arial" w:cs="Arial"/>
          <w:sz w:val="24"/>
        </w:rPr>
        <w:t>涵盖管理制度、管理机构、人员管理、系统建设管理、系统运维管理等方面。</w:t>
      </w:r>
    </w:p>
    <w:p>
      <w:pPr>
        <w:spacing w:line="360" w:lineRule="auto"/>
        <w:rPr>
          <w:rFonts w:ascii="Arial" w:hAnsi="Arial" w:eastAsia="黑体" w:cs="Arial"/>
          <w:b/>
          <w:sz w:val="24"/>
        </w:rPr>
      </w:pPr>
      <w:r>
        <w:rPr>
          <w:rFonts w:hint="eastAsia" w:ascii="Arial" w:hAnsi="Arial" w:eastAsia="黑体" w:cs="Arial"/>
          <w:b/>
          <w:sz w:val="24"/>
        </w:rPr>
        <w:t>5</w:t>
      </w:r>
      <w:r>
        <w:rPr>
          <w:rFonts w:ascii="Arial" w:hAnsi="Arial" w:eastAsia="黑体" w:cs="Arial"/>
          <w:b/>
          <w:sz w:val="24"/>
        </w:rPr>
        <w:t>.</w:t>
      </w:r>
      <w:r>
        <w:rPr>
          <w:rFonts w:hint="eastAsia" w:ascii="Arial" w:hAnsi="Arial" w:eastAsia="黑体" w:cs="Arial"/>
          <w:b/>
          <w:sz w:val="24"/>
        </w:rPr>
        <w:t>3等保</w:t>
      </w:r>
      <w:r>
        <w:rPr>
          <w:rFonts w:ascii="Arial" w:hAnsi="Arial" w:eastAsia="黑体" w:cs="Arial"/>
          <w:b/>
          <w:sz w:val="24"/>
        </w:rPr>
        <w:t>整改</w:t>
      </w:r>
    </w:p>
    <w:p>
      <w:pPr>
        <w:spacing w:line="360" w:lineRule="auto"/>
        <w:ind w:firstLine="420"/>
        <w:rPr>
          <w:rFonts w:ascii="Arial" w:hAnsi="Arial" w:cs="Arial"/>
          <w:sz w:val="24"/>
        </w:rPr>
      </w:pPr>
      <w:r>
        <w:rPr>
          <w:rFonts w:ascii="Arial" w:hAnsi="Arial" w:cs="Arial"/>
          <w:sz w:val="24"/>
        </w:rPr>
        <w:t>协助招标方按照《信息安全等级保护管理办法》（公通字[2007]43号）、《关于开展信息系统等级保护安全建设整改工作的指导意见》（公信安[2009]1429号）等有关管理规范和技术标准，制定安全管理制度、落实安全责任，建议安全技术设施，落实安全技术措施。</w:t>
      </w:r>
    </w:p>
    <w:p>
      <w:pPr>
        <w:spacing w:line="360" w:lineRule="auto"/>
        <w:ind w:firstLine="420"/>
        <w:rPr>
          <w:rFonts w:ascii="Arial" w:hAnsi="Arial" w:cs="Arial"/>
          <w:sz w:val="24"/>
        </w:rPr>
      </w:pPr>
      <w:r>
        <w:rPr>
          <w:rFonts w:ascii="Arial" w:hAnsi="Arial" w:cs="Arial"/>
          <w:sz w:val="24"/>
        </w:rPr>
        <w:t>通过安全建设整改，确保信息系统通过相应级别的安全等级评测。</w:t>
      </w:r>
    </w:p>
    <w:p>
      <w:pPr>
        <w:spacing w:line="360" w:lineRule="auto"/>
        <w:rPr>
          <w:rFonts w:ascii="Arial" w:hAnsi="Arial" w:eastAsia="黑体" w:cs="Arial"/>
          <w:b/>
          <w:sz w:val="24"/>
        </w:rPr>
      </w:pPr>
      <w:bookmarkStart w:id="0" w:name="_Toc421593367"/>
      <w:r>
        <w:rPr>
          <w:rFonts w:hint="eastAsia" w:ascii="Arial" w:hAnsi="Arial" w:eastAsia="黑体" w:cs="Arial"/>
          <w:b/>
          <w:sz w:val="24"/>
        </w:rPr>
        <w:t>5.4二次测评</w:t>
      </w:r>
      <w:bookmarkEnd w:id="0"/>
    </w:p>
    <w:p>
      <w:pPr>
        <w:spacing w:line="360" w:lineRule="auto"/>
        <w:ind w:firstLine="420"/>
        <w:rPr>
          <w:rFonts w:hint="eastAsia" w:ascii="Arial" w:hAnsi="Arial" w:cs="Arial"/>
          <w:sz w:val="24"/>
        </w:rPr>
      </w:pPr>
      <w:r>
        <w:rPr>
          <w:rFonts w:hint="eastAsia" w:ascii="Arial" w:hAnsi="Arial" w:cs="Arial"/>
          <w:sz w:val="24"/>
        </w:rPr>
        <w:t>此阶段是等级测评完整实施阶段，通过对整改后的系统进一步分析和梳理，并按照《信息系统安全等级测评报告模版（试行）》（公信安[2009]1487）编写等级测评报告。</w:t>
      </w:r>
    </w:p>
    <w:p>
      <w:pPr>
        <w:spacing w:line="360" w:lineRule="auto"/>
        <w:rPr>
          <w:rFonts w:ascii="黑体" w:hAnsi="黑体" w:eastAsia="黑体"/>
          <w:b/>
          <w:sz w:val="28"/>
        </w:rPr>
      </w:pPr>
      <w:r>
        <w:rPr>
          <w:rFonts w:hint="eastAsia" w:ascii="黑体" w:hAnsi="黑体" w:eastAsia="黑体"/>
          <w:b/>
          <w:sz w:val="28"/>
        </w:rPr>
        <w:t>6、测评对象</w:t>
      </w:r>
    </w:p>
    <w:p>
      <w:pPr>
        <w:spacing w:line="360" w:lineRule="auto"/>
        <w:ind w:firstLine="420"/>
        <w:rPr>
          <w:rFonts w:hint="eastAsia" w:ascii="Arial" w:hAnsi="Arial" w:cs="Arial"/>
          <w:sz w:val="24"/>
        </w:rPr>
      </w:pPr>
      <w:r>
        <w:rPr>
          <w:rFonts w:hint="eastAsia" w:ascii="Arial" w:hAnsi="Arial" w:cs="Arial"/>
          <w:sz w:val="24"/>
        </w:rPr>
        <w:t>本系统测评的测评对象包括以下几类：</w:t>
      </w:r>
    </w:p>
    <w:p>
      <w:pPr>
        <w:spacing w:line="360" w:lineRule="auto"/>
        <w:ind w:firstLine="420"/>
        <w:rPr>
          <w:rFonts w:hint="eastAsia" w:ascii="Arial" w:hAnsi="Arial" w:cs="Arial"/>
          <w:sz w:val="24"/>
        </w:rPr>
      </w:pPr>
      <w:r>
        <w:rPr>
          <w:rFonts w:hint="eastAsia" w:ascii="Arial" w:hAnsi="Arial" w:cs="Arial"/>
          <w:sz w:val="24"/>
        </w:rPr>
        <w:t xml:space="preserve">1．主机房（包括其环境、设备和设施等）和部分辅机房，应将放置了服务于信息系统的局部（包括整体）或对信息系统的局部（包括整体）安全性起重要作用的设备、设施的辅机房选取作为测评对象； </w:t>
      </w:r>
    </w:p>
    <w:p>
      <w:pPr>
        <w:spacing w:line="360" w:lineRule="auto"/>
        <w:ind w:firstLine="420"/>
        <w:rPr>
          <w:rFonts w:hint="eastAsia" w:ascii="Arial" w:hAnsi="Arial" w:cs="Arial"/>
          <w:sz w:val="24"/>
        </w:rPr>
      </w:pPr>
      <w:r>
        <w:rPr>
          <w:rFonts w:hint="eastAsia" w:ascii="Arial" w:hAnsi="Arial" w:cs="Arial"/>
          <w:sz w:val="24"/>
        </w:rPr>
        <w:t>2．办公场地；</w:t>
      </w:r>
    </w:p>
    <w:p>
      <w:pPr>
        <w:spacing w:line="360" w:lineRule="auto"/>
        <w:ind w:firstLine="420"/>
        <w:rPr>
          <w:rFonts w:hint="eastAsia" w:ascii="Arial" w:hAnsi="Arial" w:cs="Arial"/>
          <w:sz w:val="24"/>
        </w:rPr>
      </w:pPr>
      <w:r>
        <w:rPr>
          <w:rFonts w:hint="eastAsia" w:ascii="Arial" w:hAnsi="Arial" w:cs="Arial"/>
          <w:sz w:val="24"/>
        </w:rPr>
        <w:t xml:space="preserve">3．整个系统的网络拓扑结构； </w:t>
      </w:r>
    </w:p>
    <w:p>
      <w:pPr>
        <w:spacing w:line="360" w:lineRule="auto"/>
        <w:ind w:firstLine="420"/>
        <w:rPr>
          <w:rFonts w:hint="eastAsia" w:ascii="Arial" w:hAnsi="Arial" w:cs="Arial"/>
          <w:sz w:val="24"/>
        </w:rPr>
      </w:pPr>
      <w:r>
        <w:rPr>
          <w:rFonts w:hint="eastAsia" w:ascii="Arial" w:hAnsi="Arial" w:cs="Arial"/>
          <w:sz w:val="24"/>
        </w:rPr>
        <w:t xml:space="preserve">4．安全设备，包括防火墙、入侵检测设备和防病毒网关等； </w:t>
      </w:r>
    </w:p>
    <w:p>
      <w:pPr>
        <w:spacing w:line="360" w:lineRule="auto"/>
        <w:ind w:firstLine="420"/>
        <w:rPr>
          <w:rFonts w:hint="eastAsia" w:ascii="Arial" w:hAnsi="Arial" w:cs="Arial"/>
          <w:sz w:val="24"/>
        </w:rPr>
      </w:pPr>
      <w:r>
        <w:rPr>
          <w:rFonts w:hint="eastAsia" w:ascii="Arial" w:hAnsi="Arial" w:cs="Arial"/>
          <w:sz w:val="24"/>
        </w:rPr>
        <w:t xml:space="preserve">5．边界网络设（可能会包含安全设备），包括路由器、防火墙、认证网关和边界接入设备（如楼层交换机）等； </w:t>
      </w:r>
    </w:p>
    <w:p>
      <w:pPr>
        <w:spacing w:line="360" w:lineRule="auto"/>
        <w:ind w:firstLine="420"/>
        <w:rPr>
          <w:rFonts w:hint="eastAsia" w:ascii="Arial" w:hAnsi="Arial" w:cs="Arial"/>
          <w:sz w:val="24"/>
        </w:rPr>
      </w:pPr>
      <w:r>
        <w:rPr>
          <w:rFonts w:hint="eastAsia" w:ascii="Arial" w:hAnsi="Arial" w:cs="Arial"/>
          <w:sz w:val="24"/>
        </w:rPr>
        <w:t xml:space="preserve">6．对整个信息系统或其局部的安全性起作用的网络互联设备，如核心交换机、汇聚层交换机、路由器等； </w:t>
      </w:r>
    </w:p>
    <w:p>
      <w:pPr>
        <w:spacing w:line="360" w:lineRule="auto"/>
        <w:ind w:firstLine="420"/>
        <w:rPr>
          <w:rFonts w:hint="eastAsia" w:ascii="Arial" w:hAnsi="Arial" w:cs="Arial"/>
          <w:sz w:val="24"/>
        </w:rPr>
      </w:pPr>
      <w:r>
        <w:rPr>
          <w:rFonts w:hint="eastAsia" w:ascii="Arial" w:hAnsi="Arial" w:cs="Arial"/>
          <w:sz w:val="24"/>
        </w:rPr>
        <w:t xml:space="preserve">7．存储被测系统重要数据的介质的存放环境； </w:t>
      </w:r>
    </w:p>
    <w:p>
      <w:pPr>
        <w:ind w:firstLine="420"/>
        <w:jc w:val="left"/>
        <w:rPr>
          <w:rFonts w:ascii="Arial" w:hAnsi="Arial" w:cs="Arial"/>
          <w:sz w:val="24"/>
        </w:rPr>
      </w:pPr>
      <w:r>
        <w:rPr>
          <w:rFonts w:hint="eastAsia" w:ascii="Arial" w:hAnsi="Arial" w:cs="Arial"/>
          <w:sz w:val="24"/>
        </w:rPr>
        <w:t>8．承载被测系统主要业务或数据的服务器（包括其操作系统和数据库）；</w:t>
      </w:r>
    </w:p>
    <w:p>
      <w:pPr>
        <w:spacing w:line="360" w:lineRule="auto"/>
        <w:ind w:firstLine="420"/>
        <w:rPr>
          <w:rFonts w:hint="eastAsia" w:ascii="Arial" w:hAnsi="Arial" w:cs="Arial"/>
          <w:sz w:val="24"/>
        </w:rPr>
      </w:pPr>
      <w:r>
        <w:rPr>
          <w:rFonts w:hint="eastAsia" w:ascii="Arial" w:hAnsi="Arial" w:cs="Arial"/>
          <w:sz w:val="24"/>
        </w:rPr>
        <w:t xml:space="preserve">9．管理终端和主要业务应用系统终端； </w:t>
      </w:r>
    </w:p>
    <w:p>
      <w:pPr>
        <w:spacing w:line="360" w:lineRule="auto"/>
        <w:ind w:firstLine="420"/>
        <w:rPr>
          <w:rFonts w:hint="eastAsia" w:ascii="Arial" w:hAnsi="Arial" w:cs="Arial"/>
          <w:sz w:val="24"/>
        </w:rPr>
      </w:pPr>
      <w:r>
        <w:rPr>
          <w:rFonts w:hint="eastAsia" w:ascii="Arial" w:hAnsi="Arial" w:cs="Arial"/>
          <w:sz w:val="24"/>
        </w:rPr>
        <w:t xml:space="preserve">10．能够完成被测系统不同业务使命的业务应用系统； </w:t>
      </w:r>
    </w:p>
    <w:p>
      <w:pPr>
        <w:spacing w:line="360" w:lineRule="auto"/>
        <w:ind w:firstLine="420"/>
        <w:rPr>
          <w:rFonts w:hint="eastAsia" w:ascii="Arial" w:hAnsi="Arial" w:cs="Arial"/>
          <w:sz w:val="24"/>
        </w:rPr>
      </w:pPr>
      <w:r>
        <w:rPr>
          <w:rFonts w:hint="eastAsia" w:ascii="Arial" w:hAnsi="Arial" w:cs="Arial"/>
          <w:sz w:val="24"/>
        </w:rPr>
        <w:t xml:space="preserve">11．业务备份系统； </w:t>
      </w:r>
    </w:p>
    <w:p>
      <w:pPr>
        <w:spacing w:line="360" w:lineRule="auto"/>
        <w:ind w:firstLine="420"/>
        <w:rPr>
          <w:rFonts w:hint="eastAsia" w:ascii="Arial" w:hAnsi="Arial" w:cs="Arial"/>
          <w:sz w:val="24"/>
        </w:rPr>
      </w:pPr>
      <w:r>
        <w:rPr>
          <w:rFonts w:hint="eastAsia" w:ascii="Arial" w:hAnsi="Arial" w:cs="Arial"/>
          <w:sz w:val="24"/>
        </w:rPr>
        <w:t xml:space="preserve">12．信息安全主管人员、各方面的负责人员、具体负责安全管理的当事人、业务负责人； </w:t>
      </w:r>
    </w:p>
    <w:p>
      <w:pPr>
        <w:spacing w:line="360" w:lineRule="auto"/>
        <w:ind w:firstLine="420"/>
        <w:rPr>
          <w:rFonts w:hint="eastAsia" w:ascii="Arial" w:hAnsi="Arial" w:cs="Arial"/>
          <w:sz w:val="24"/>
        </w:rPr>
      </w:pPr>
      <w:r>
        <w:rPr>
          <w:rFonts w:hint="eastAsia" w:ascii="Arial" w:hAnsi="Arial" w:cs="Arial"/>
          <w:sz w:val="24"/>
        </w:rPr>
        <w:t>13．涉及到信息系统安全的所有管理制度和记录。</w:t>
      </w:r>
    </w:p>
    <w:p>
      <w:pPr>
        <w:spacing w:line="360" w:lineRule="auto"/>
        <w:rPr>
          <w:rFonts w:hint="eastAsia" w:ascii="黑体" w:hAnsi="黑体" w:eastAsia="黑体"/>
          <w:b/>
          <w:sz w:val="28"/>
        </w:rPr>
      </w:pPr>
      <w:r>
        <w:rPr>
          <w:rFonts w:hint="eastAsia" w:ascii="黑体" w:hAnsi="黑体" w:eastAsia="黑体"/>
          <w:b/>
          <w:sz w:val="28"/>
        </w:rPr>
        <w:t>7、咨询服务</w:t>
      </w:r>
    </w:p>
    <w:p>
      <w:pPr>
        <w:autoSpaceDN w:val="0"/>
        <w:spacing w:line="460" w:lineRule="exact"/>
        <w:ind w:firstLine="480" w:firstLineChars="200"/>
        <w:rPr>
          <w:rFonts w:hint="eastAsia" w:ascii="Arial" w:hAnsi="Arial" w:cs="Arial"/>
          <w:sz w:val="24"/>
        </w:rPr>
      </w:pPr>
      <w:r>
        <w:rPr>
          <w:rFonts w:hint="eastAsia" w:ascii="Arial" w:hAnsi="Arial" w:cs="Arial"/>
          <w:sz w:val="24"/>
        </w:rPr>
        <w:t>在验收合格后一年内为招标方提供信息系统安全咨询服务，涵盖系统建设、运维、管理等相关的安全问题，提供信息安全检查咨询和整改建议等技术支持服务。</w:t>
      </w:r>
    </w:p>
    <w:p>
      <w:pPr>
        <w:spacing w:line="360" w:lineRule="auto"/>
        <w:rPr>
          <w:rFonts w:hint="eastAsia" w:ascii="黑体" w:hAnsi="黑体" w:eastAsia="黑体"/>
          <w:b/>
          <w:sz w:val="28"/>
        </w:rPr>
      </w:pPr>
      <w:r>
        <w:rPr>
          <w:rFonts w:hint="eastAsia" w:ascii="黑体" w:hAnsi="黑体" w:eastAsia="黑体"/>
          <w:b/>
          <w:sz w:val="28"/>
        </w:rPr>
        <w:t>8、安全意识和技能培训</w:t>
      </w:r>
    </w:p>
    <w:p>
      <w:pPr>
        <w:autoSpaceDN w:val="0"/>
        <w:spacing w:line="460" w:lineRule="exact"/>
        <w:ind w:firstLine="480" w:firstLineChars="200"/>
        <w:rPr>
          <w:rFonts w:hint="eastAsia" w:ascii="Arial" w:hAnsi="Arial" w:cs="Arial"/>
          <w:sz w:val="24"/>
        </w:rPr>
      </w:pPr>
      <w:r>
        <w:rPr>
          <w:rFonts w:hint="eastAsia" w:ascii="宋体" w:hAnsi="宋体"/>
          <w:sz w:val="24"/>
        </w:rPr>
        <w:t>针对技术人员、管理层提供不同类型的信息安全培训，培训内容包括网络安全基础知识、等保测评知识交流、网络安全法知识普及、安全常识培训、安全意识培训。</w:t>
      </w:r>
    </w:p>
    <w:p>
      <w:pPr>
        <w:spacing w:line="360" w:lineRule="auto"/>
        <w:rPr>
          <w:rFonts w:ascii="黑体" w:hAnsi="黑体" w:eastAsia="黑体"/>
          <w:b/>
          <w:sz w:val="28"/>
        </w:rPr>
      </w:pPr>
      <w:r>
        <w:rPr>
          <w:rFonts w:hint="eastAsia" w:ascii="黑体" w:hAnsi="黑体" w:eastAsia="黑体"/>
          <w:b/>
          <w:sz w:val="28"/>
        </w:rPr>
        <w:t>三、测评</w:t>
      </w:r>
      <w:r>
        <w:rPr>
          <w:rFonts w:ascii="黑体" w:hAnsi="黑体" w:eastAsia="黑体"/>
          <w:b/>
          <w:sz w:val="28"/>
        </w:rPr>
        <w:t>应满足的原则</w:t>
      </w:r>
    </w:p>
    <w:p>
      <w:pPr>
        <w:spacing w:line="360" w:lineRule="auto"/>
        <w:ind w:firstLine="420"/>
        <w:rPr>
          <w:rFonts w:ascii="Arial" w:hAnsi="Arial" w:cs="Arial"/>
          <w:sz w:val="24"/>
        </w:rPr>
      </w:pPr>
      <w:r>
        <w:rPr>
          <w:rFonts w:ascii="Arial" w:hAnsi="Arial" w:cs="Arial"/>
          <w:sz w:val="24"/>
        </w:rPr>
        <w:t>本次</w:t>
      </w:r>
      <w:r>
        <w:rPr>
          <w:rFonts w:hint="eastAsia" w:ascii="Arial" w:hAnsi="Arial" w:cs="Arial"/>
          <w:sz w:val="24"/>
        </w:rPr>
        <w:t>安全保护</w:t>
      </w:r>
      <w:r>
        <w:rPr>
          <w:rFonts w:ascii="Arial" w:hAnsi="Arial" w:cs="Arial"/>
          <w:sz w:val="24"/>
        </w:rPr>
        <w:t>等级保护测评实施方案设计与具体实施应满足以下原则：</w:t>
      </w:r>
    </w:p>
    <w:p>
      <w:pPr>
        <w:tabs>
          <w:tab w:val="left" w:pos="360"/>
        </w:tabs>
        <w:spacing w:line="360" w:lineRule="auto"/>
        <w:ind w:firstLine="420"/>
        <w:rPr>
          <w:rFonts w:ascii="Arial" w:hAnsi="Arial" w:cs="Arial"/>
          <w:sz w:val="24"/>
        </w:rPr>
      </w:pPr>
      <w:r>
        <w:rPr>
          <w:rFonts w:hint="eastAsia" w:ascii="Arial" w:hAnsi="Arial" w:cs="Arial"/>
          <w:sz w:val="24"/>
        </w:rPr>
        <w:t>（1）</w:t>
      </w:r>
      <w:r>
        <w:rPr>
          <w:rFonts w:ascii="Arial" w:hAnsi="Arial" w:cs="Arial"/>
          <w:sz w:val="24"/>
        </w:rPr>
        <w:t>保密原则：对测评的过程数据和结果数据严格保密，未经授权不得泄露给任何单位和个人，不得利用此数据进行任何侵害</w:t>
      </w:r>
      <w:r>
        <w:rPr>
          <w:rFonts w:hint="eastAsia" w:ascii="Arial" w:hAnsi="Arial" w:cs="Arial"/>
          <w:sz w:val="24"/>
        </w:rPr>
        <w:t>招标人</w:t>
      </w:r>
      <w:r>
        <w:rPr>
          <w:rFonts w:ascii="Arial" w:hAnsi="Arial" w:cs="Arial"/>
          <w:sz w:val="24"/>
        </w:rPr>
        <w:t>的行为，否则招标人有权追究投标人的责任。</w:t>
      </w:r>
    </w:p>
    <w:p>
      <w:pPr>
        <w:tabs>
          <w:tab w:val="left" w:pos="360"/>
        </w:tabs>
        <w:spacing w:line="360" w:lineRule="auto"/>
        <w:ind w:firstLine="420"/>
        <w:rPr>
          <w:rFonts w:ascii="Arial" w:hAnsi="Arial" w:cs="Arial"/>
          <w:sz w:val="24"/>
        </w:rPr>
      </w:pPr>
      <w:r>
        <w:rPr>
          <w:rFonts w:hint="eastAsia" w:ascii="Arial" w:hAnsi="Arial" w:cs="Arial"/>
          <w:sz w:val="24"/>
        </w:rPr>
        <w:t>（2）</w:t>
      </w:r>
      <w:r>
        <w:rPr>
          <w:rFonts w:ascii="Arial" w:hAnsi="Arial" w:cs="Arial"/>
          <w:sz w:val="24"/>
        </w:rPr>
        <w:t>规范性原则：投标人的工作中的过程和文档，具有很好的规范性，可以便于项目的跟踪和控制。</w:t>
      </w:r>
    </w:p>
    <w:p>
      <w:pPr>
        <w:tabs>
          <w:tab w:val="left" w:pos="360"/>
        </w:tabs>
        <w:spacing w:line="360" w:lineRule="auto"/>
        <w:ind w:firstLine="420"/>
        <w:rPr>
          <w:rFonts w:ascii="Arial" w:hAnsi="Arial" w:cs="Arial"/>
          <w:sz w:val="24"/>
        </w:rPr>
      </w:pPr>
      <w:r>
        <w:rPr>
          <w:rFonts w:hint="eastAsia" w:ascii="Arial" w:hAnsi="Arial" w:cs="Arial"/>
          <w:sz w:val="24"/>
        </w:rPr>
        <w:t>（3）</w:t>
      </w:r>
      <w:r>
        <w:rPr>
          <w:rFonts w:ascii="Arial" w:hAnsi="Arial" w:cs="Arial"/>
          <w:sz w:val="24"/>
        </w:rPr>
        <w:t>可控性原则：测评服务的进度要跟上进度表的安排，保证招标人对于测评工作的可控性。</w:t>
      </w:r>
    </w:p>
    <w:p>
      <w:pPr>
        <w:tabs>
          <w:tab w:val="left" w:pos="360"/>
        </w:tabs>
        <w:spacing w:line="360" w:lineRule="auto"/>
        <w:ind w:firstLine="420"/>
        <w:rPr>
          <w:rFonts w:ascii="Arial" w:hAnsi="Arial" w:cs="Arial"/>
          <w:sz w:val="24"/>
        </w:rPr>
      </w:pPr>
      <w:r>
        <w:rPr>
          <w:rFonts w:hint="eastAsia" w:ascii="Arial" w:hAnsi="Arial" w:cs="Arial"/>
          <w:sz w:val="24"/>
        </w:rPr>
        <w:t>（4）</w:t>
      </w:r>
      <w:r>
        <w:rPr>
          <w:rFonts w:ascii="Arial" w:hAnsi="Arial" w:cs="Arial"/>
          <w:sz w:val="24"/>
        </w:rPr>
        <w:t>整体性原则：测评的范围和内容应当整体全面，包括国家等级保护相关要求涉及的各个层面。</w:t>
      </w:r>
    </w:p>
    <w:p>
      <w:pPr>
        <w:tabs>
          <w:tab w:val="left" w:pos="360"/>
        </w:tabs>
        <w:spacing w:line="360" w:lineRule="auto"/>
        <w:ind w:firstLine="420"/>
        <w:rPr>
          <w:rFonts w:ascii="Arial" w:hAnsi="Arial" w:cs="Arial"/>
          <w:b/>
          <w:sz w:val="24"/>
        </w:rPr>
      </w:pPr>
      <w:r>
        <w:rPr>
          <w:rFonts w:hint="eastAsia" w:ascii="Arial" w:hAnsi="Arial" w:cs="Arial"/>
          <w:b/>
          <w:sz w:val="24"/>
        </w:rPr>
        <w:t>（5）最小</w:t>
      </w:r>
      <w:r>
        <w:rPr>
          <w:rFonts w:ascii="Arial" w:hAnsi="Arial" w:cs="Arial"/>
          <w:b/>
          <w:sz w:val="24"/>
        </w:rPr>
        <w:t>影响原则：测评工作应尽可能小的影响系统和网络，</w:t>
      </w:r>
      <w:r>
        <w:rPr>
          <w:rFonts w:hint="eastAsia" w:ascii="Arial" w:hAnsi="Arial" w:cs="Arial"/>
          <w:b/>
          <w:sz w:val="24"/>
        </w:rPr>
        <w:t>并在可控范围内；测评工作</w:t>
      </w:r>
      <w:r>
        <w:rPr>
          <w:rFonts w:ascii="Arial" w:hAnsi="Arial" w:cs="Arial"/>
          <w:b/>
          <w:sz w:val="24"/>
        </w:rPr>
        <w:t>不</w:t>
      </w:r>
      <w:r>
        <w:rPr>
          <w:rFonts w:hint="eastAsia" w:ascii="Arial" w:hAnsi="Arial" w:cs="Arial"/>
          <w:b/>
          <w:sz w:val="24"/>
        </w:rPr>
        <w:t>能对</w:t>
      </w:r>
      <w:r>
        <w:rPr>
          <w:rFonts w:ascii="Arial" w:hAnsi="Arial" w:cs="Arial"/>
          <w:b/>
          <w:sz w:val="24"/>
        </w:rPr>
        <w:t>现有</w:t>
      </w:r>
      <w:r>
        <w:rPr>
          <w:rFonts w:hint="eastAsia" w:ascii="Arial" w:hAnsi="Arial" w:cs="Arial"/>
          <w:b/>
          <w:sz w:val="24"/>
        </w:rPr>
        <w:t>信息系统</w:t>
      </w:r>
      <w:r>
        <w:rPr>
          <w:rFonts w:ascii="Arial" w:hAnsi="Arial" w:cs="Arial"/>
          <w:b/>
          <w:sz w:val="24"/>
        </w:rPr>
        <w:t>的</w:t>
      </w:r>
      <w:r>
        <w:rPr>
          <w:rFonts w:hint="eastAsia" w:ascii="Arial" w:hAnsi="Arial" w:cs="Arial"/>
          <w:b/>
          <w:sz w:val="24"/>
        </w:rPr>
        <w:t>的正常运行、业务的正常开展</w:t>
      </w:r>
      <w:r>
        <w:rPr>
          <w:rFonts w:ascii="Arial" w:hAnsi="Arial" w:cs="Arial"/>
          <w:b/>
          <w:sz w:val="24"/>
        </w:rPr>
        <w:t>产生</w:t>
      </w:r>
      <w:r>
        <w:rPr>
          <w:rFonts w:hint="eastAsia" w:ascii="Arial" w:hAnsi="Arial" w:cs="Arial"/>
          <w:b/>
          <w:sz w:val="24"/>
        </w:rPr>
        <w:t>任何</w:t>
      </w:r>
      <w:r>
        <w:rPr>
          <w:rFonts w:ascii="Arial" w:hAnsi="Arial" w:cs="Arial"/>
          <w:b/>
          <w:sz w:val="24"/>
        </w:rPr>
        <w:t>影响</w:t>
      </w:r>
      <w:r>
        <w:rPr>
          <w:rFonts w:hint="eastAsia" w:ascii="Arial" w:hAnsi="Arial" w:cs="Arial"/>
          <w:b/>
          <w:sz w:val="24"/>
        </w:rPr>
        <w:t>，</w:t>
      </w:r>
      <w:r>
        <w:rPr>
          <w:rFonts w:ascii="Arial" w:hAnsi="Arial" w:cs="Arial"/>
          <w:b/>
          <w:sz w:val="24"/>
        </w:rPr>
        <w:t>保证现有系统24小时的不间断、稳定、安全运行。</w:t>
      </w:r>
    </w:p>
    <w:p>
      <w:pPr>
        <w:ind w:firstLine="420"/>
        <w:jc w:val="left"/>
        <w:rPr>
          <w:rFonts w:ascii="Arial" w:hAnsi="Arial" w:cs="Arial"/>
          <w:sz w:val="24"/>
        </w:rPr>
      </w:pPr>
      <w:r>
        <w:rPr>
          <w:rFonts w:hint="eastAsia" w:ascii="Arial" w:hAnsi="Arial" w:cs="Arial"/>
          <w:sz w:val="24"/>
        </w:rPr>
        <w:t>（6）非高峰期原则：</w:t>
      </w:r>
      <w:r>
        <w:rPr>
          <w:rFonts w:ascii="Arial" w:hAnsi="Arial" w:cs="Arial"/>
          <w:sz w:val="24"/>
        </w:rPr>
        <w:t>漏洞扫描及渗透测试时间，应尽量安排在夜间或法定节假日期间，制定切实可行的测试实施细则；对意外导致的宕机等，应提供应急保障方案，切实保证关键系统能正常工作。</w:t>
      </w:r>
    </w:p>
    <w:p>
      <w:pPr>
        <w:spacing w:line="360" w:lineRule="auto"/>
        <w:ind w:firstLine="420"/>
        <w:rPr>
          <w:rFonts w:ascii="Arial" w:hAnsi="Arial" w:cs="Arial"/>
          <w:sz w:val="24"/>
        </w:rPr>
      </w:pPr>
      <w:r>
        <w:rPr>
          <w:rFonts w:ascii="Arial" w:hAnsi="Arial" w:cs="Arial"/>
          <w:sz w:val="24"/>
        </w:rPr>
        <w:t>投标人应严格依照上述原则</w:t>
      </w:r>
      <w:r>
        <w:rPr>
          <w:rFonts w:hint="eastAsia" w:ascii="Arial" w:hAnsi="Arial" w:cs="Arial"/>
          <w:sz w:val="24"/>
        </w:rPr>
        <w:t>和国家等级保护相关标准</w:t>
      </w:r>
      <w:r>
        <w:rPr>
          <w:rFonts w:ascii="Arial" w:hAnsi="Arial" w:cs="Arial"/>
          <w:sz w:val="24"/>
        </w:rPr>
        <w:t>开展项目实施工作。</w:t>
      </w:r>
    </w:p>
    <w:p>
      <w:pPr>
        <w:spacing w:line="360" w:lineRule="auto"/>
        <w:rPr>
          <w:rFonts w:ascii="黑体" w:hAnsi="黑体" w:eastAsia="黑体"/>
          <w:b/>
          <w:sz w:val="28"/>
        </w:rPr>
      </w:pPr>
      <w:r>
        <w:rPr>
          <w:rFonts w:hint="eastAsia" w:ascii="黑体" w:hAnsi="黑体" w:eastAsia="黑体"/>
          <w:b/>
          <w:sz w:val="28"/>
        </w:rPr>
        <w:t>四、</w:t>
      </w:r>
      <w:r>
        <w:rPr>
          <w:rFonts w:ascii="黑体" w:hAnsi="黑体" w:eastAsia="黑体"/>
          <w:b/>
          <w:sz w:val="28"/>
        </w:rPr>
        <w:t>交付物</w:t>
      </w:r>
    </w:p>
    <w:p>
      <w:pPr>
        <w:spacing w:line="360" w:lineRule="auto"/>
        <w:ind w:firstLine="420"/>
        <w:rPr>
          <w:rFonts w:ascii="Arial" w:hAnsi="Arial" w:cs="Arial"/>
          <w:sz w:val="24"/>
        </w:rPr>
      </w:pPr>
      <w:r>
        <w:rPr>
          <w:rFonts w:ascii="Arial" w:hAnsi="Arial" w:cs="Arial"/>
          <w:sz w:val="24"/>
        </w:rPr>
        <w:t>工作计划、流程、内容、及成果交付，严格遵循相关文件，根据实际情况，开展信息系统的等级测评，测评报告内容及格式严格遵照《信息系统安全等级测评报告模版》（2015年版）撰写。</w:t>
      </w:r>
    </w:p>
    <w:p>
      <w:pPr>
        <w:spacing w:line="360" w:lineRule="auto"/>
        <w:ind w:firstLine="420"/>
        <w:rPr>
          <w:rFonts w:ascii="Arial" w:hAnsi="Arial" w:cs="Arial"/>
          <w:sz w:val="24"/>
        </w:rPr>
      </w:pPr>
      <w:r>
        <w:rPr>
          <w:rFonts w:ascii="Arial" w:hAnsi="Arial" w:cs="Arial"/>
          <w:sz w:val="24"/>
        </w:rPr>
        <w:t>项目实施验收前应提交真实可靠、客观公正的评估文档，文档应包括但不限于以下内容：</w:t>
      </w:r>
    </w:p>
    <w:p>
      <w:pPr>
        <w:spacing w:line="360" w:lineRule="auto"/>
        <w:ind w:firstLine="420"/>
        <w:rPr>
          <w:rFonts w:ascii="Arial" w:hAnsi="Arial" w:cs="Arial"/>
          <w:sz w:val="24"/>
        </w:rPr>
      </w:pPr>
      <w:r>
        <w:rPr>
          <w:rFonts w:ascii="Arial" w:hAnsi="Arial" w:cs="Arial"/>
          <w:sz w:val="24"/>
        </w:rPr>
        <w:t>1)测评方案；</w:t>
      </w:r>
    </w:p>
    <w:p>
      <w:pPr>
        <w:spacing w:line="360" w:lineRule="auto"/>
        <w:ind w:firstLine="420"/>
        <w:rPr>
          <w:rFonts w:ascii="Arial" w:hAnsi="Arial" w:cs="Arial"/>
          <w:sz w:val="24"/>
        </w:rPr>
      </w:pPr>
      <w:r>
        <w:rPr>
          <w:rFonts w:ascii="Arial" w:hAnsi="Arial" w:cs="Arial"/>
          <w:sz w:val="24"/>
        </w:rPr>
        <w:t>2)安全建设整改建议；</w:t>
      </w:r>
    </w:p>
    <w:p>
      <w:pPr>
        <w:spacing w:line="360" w:lineRule="auto"/>
        <w:ind w:firstLine="420"/>
        <w:rPr>
          <w:rFonts w:ascii="Arial" w:hAnsi="Arial" w:cs="Arial"/>
          <w:sz w:val="24"/>
        </w:rPr>
      </w:pPr>
      <w:r>
        <w:rPr>
          <w:rFonts w:ascii="Arial" w:hAnsi="Arial" w:cs="Arial"/>
          <w:sz w:val="24"/>
        </w:rPr>
        <w:t>3)等级测评报告；</w:t>
      </w:r>
    </w:p>
    <w:p>
      <w:pPr>
        <w:spacing w:line="360" w:lineRule="auto"/>
        <w:ind w:firstLine="420"/>
        <w:rPr>
          <w:rFonts w:ascii="Arial" w:hAnsi="Arial" w:cs="Arial"/>
          <w:sz w:val="24"/>
        </w:rPr>
      </w:pPr>
      <w:r>
        <w:rPr>
          <w:rFonts w:hint="eastAsia" w:ascii="Arial" w:hAnsi="Arial" w:cs="Arial"/>
          <w:sz w:val="24"/>
        </w:rPr>
        <w:t>4</w:t>
      </w:r>
      <w:r>
        <w:rPr>
          <w:rFonts w:ascii="Arial" w:hAnsi="Arial" w:cs="Arial"/>
          <w:sz w:val="24"/>
        </w:rPr>
        <w:t>)公安相关部门出具的信息系统安全等级保护备案证明。</w:t>
      </w:r>
    </w:p>
    <w:p>
      <w:pPr>
        <w:spacing w:line="360" w:lineRule="auto"/>
        <w:ind w:firstLine="420"/>
        <w:rPr>
          <w:rFonts w:ascii="Arial" w:hAnsi="Arial" w:cs="Arial"/>
          <w:sz w:val="24"/>
        </w:rPr>
      </w:pPr>
    </w:p>
    <w:p>
      <w:pPr>
        <w:spacing w:line="360" w:lineRule="auto"/>
        <w:ind w:firstLine="420"/>
        <w:rPr>
          <w:rFonts w:ascii="Arial" w:hAnsi="Arial" w:cs="Arial"/>
          <w:sz w:val="24"/>
        </w:rPr>
      </w:pPr>
    </w:p>
    <w:p>
      <w:pPr>
        <w:spacing w:line="360" w:lineRule="auto"/>
        <w:ind w:firstLine="420"/>
        <w:rPr>
          <w:rFonts w:ascii="Arial" w:hAnsi="Arial" w:cs="Arial"/>
          <w:sz w:val="24"/>
        </w:rPr>
      </w:pPr>
    </w:p>
    <w:p>
      <w:pPr>
        <w:spacing w:line="360" w:lineRule="auto"/>
      </w:pPr>
      <w:r>
        <w:rPr>
          <w:rFonts w:hint="eastAsia" w:ascii="黑体" w:hAnsi="黑体" w:eastAsia="黑体"/>
          <w:b/>
          <w:sz w:val="28"/>
        </w:rPr>
        <w:t>五、评分标准</w:t>
      </w:r>
    </w:p>
    <w:tbl>
      <w:tblPr>
        <w:tblStyle w:val="6"/>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690"/>
        <w:gridCol w:w="5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tcPr>
          <w:p>
            <w:pPr>
              <w:rPr>
                <w:rFonts w:hint="eastAsia" w:ascii="宋体" w:hAnsi="宋体"/>
                <w:b/>
                <w:sz w:val="28"/>
                <w:szCs w:val="28"/>
              </w:rPr>
            </w:pPr>
            <w:r>
              <w:rPr>
                <w:rFonts w:hint="eastAsia" w:ascii="宋体" w:hAnsi="宋体"/>
                <w:b/>
                <w:sz w:val="28"/>
                <w:szCs w:val="28"/>
              </w:rPr>
              <w:t>评审内容</w:t>
            </w:r>
          </w:p>
        </w:tc>
        <w:tc>
          <w:tcPr>
            <w:tcW w:w="1690" w:type="dxa"/>
          </w:tcPr>
          <w:p>
            <w:pPr>
              <w:rPr>
                <w:rFonts w:hint="eastAsia" w:ascii="宋体" w:hAnsi="宋体"/>
                <w:b/>
                <w:sz w:val="28"/>
                <w:szCs w:val="28"/>
              </w:rPr>
            </w:pPr>
            <w:r>
              <w:rPr>
                <w:rFonts w:hint="eastAsia" w:ascii="宋体" w:hAnsi="宋体"/>
                <w:b/>
                <w:sz w:val="28"/>
                <w:szCs w:val="28"/>
              </w:rPr>
              <w:t>分值标准</w:t>
            </w:r>
          </w:p>
        </w:tc>
        <w:tc>
          <w:tcPr>
            <w:tcW w:w="5398" w:type="dxa"/>
          </w:tcPr>
          <w:p>
            <w:pPr>
              <w:rPr>
                <w:rFonts w:hint="eastAsia" w:ascii="宋体" w:hAnsi="宋体"/>
                <w:b/>
                <w:sz w:val="28"/>
                <w:szCs w:val="28"/>
              </w:rPr>
            </w:pPr>
            <w:r>
              <w:rPr>
                <w:rFonts w:hint="eastAsia" w:ascii="宋体" w:hAnsi="宋体"/>
                <w:b/>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Merge w:val="restart"/>
            <w:vAlign w:val="center"/>
          </w:tcPr>
          <w:p>
            <w:pPr>
              <w:spacing w:line="320" w:lineRule="exact"/>
              <w:jc w:val="center"/>
              <w:rPr>
                <w:rFonts w:hint="eastAsia" w:ascii="Arial" w:hAnsi="Arial" w:cs="Arial"/>
                <w:szCs w:val="21"/>
              </w:rPr>
            </w:pPr>
            <w:r>
              <w:rPr>
                <w:rFonts w:hint="eastAsia" w:ascii="Arial" w:hAnsi="Arial" w:cs="Arial"/>
                <w:szCs w:val="21"/>
              </w:rPr>
              <w:t>商务部分（共</w:t>
            </w:r>
            <w:r>
              <w:rPr>
                <w:rFonts w:hint="eastAsia" w:ascii="Arial" w:hAnsi="Arial" w:cs="Arial"/>
                <w:szCs w:val="21"/>
                <w:lang w:val="en-US" w:eastAsia="zh-CN"/>
              </w:rPr>
              <w:t>4</w:t>
            </w:r>
            <w:r>
              <w:rPr>
                <w:rFonts w:hint="eastAsia" w:ascii="Arial" w:hAnsi="Arial" w:cs="Arial"/>
                <w:szCs w:val="21"/>
              </w:rPr>
              <w:t>0分）</w:t>
            </w:r>
          </w:p>
        </w:tc>
        <w:tc>
          <w:tcPr>
            <w:tcW w:w="1690" w:type="dxa"/>
            <w:vAlign w:val="center"/>
          </w:tcPr>
          <w:p>
            <w:pPr>
              <w:spacing w:line="320" w:lineRule="exact"/>
              <w:jc w:val="center"/>
              <w:rPr>
                <w:rFonts w:hint="eastAsia" w:ascii="Arial" w:hAnsi="Arial" w:cs="Arial"/>
                <w:szCs w:val="21"/>
              </w:rPr>
            </w:pPr>
            <w:r>
              <w:rPr>
                <w:rFonts w:hint="eastAsia" w:ascii="Arial" w:hAnsi="Arial" w:cs="Arial"/>
                <w:szCs w:val="21"/>
              </w:rPr>
              <w:t>投标报价（</w:t>
            </w:r>
            <w:r>
              <w:rPr>
                <w:rFonts w:hint="eastAsia" w:ascii="Arial" w:hAnsi="Arial" w:cs="Arial"/>
                <w:szCs w:val="21"/>
                <w:lang w:val="en-US" w:eastAsia="zh-CN"/>
              </w:rPr>
              <w:t>2</w:t>
            </w:r>
            <w:r>
              <w:rPr>
                <w:rFonts w:hint="eastAsia" w:ascii="Arial" w:hAnsi="Arial" w:cs="Arial"/>
                <w:szCs w:val="21"/>
              </w:rPr>
              <w:t>0分）</w:t>
            </w:r>
          </w:p>
        </w:tc>
        <w:tc>
          <w:tcPr>
            <w:tcW w:w="5398" w:type="dxa"/>
            <w:vAlign w:val="center"/>
          </w:tcPr>
          <w:p>
            <w:pPr>
              <w:spacing w:line="320" w:lineRule="exact"/>
              <w:rPr>
                <w:rFonts w:hint="eastAsia" w:ascii="Arial" w:hAnsi="Arial" w:cs="Arial"/>
                <w:szCs w:val="21"/>
              </w:rPr>
            </w:pPr>
            <w:r>
              <w:rPr>
                <w:rFonts w:hint="eastAsia" w:ascii="宋体" w:hAnsi="宋体" w:cs="Arial"/>
                <w:szCs w:val="21"/>
              </w:rPr>
              <w:t>以所有有效投标报价的算术平均值为评标基准价。投标有效报价与评标基准价一致得满分，投标有效报价每高于评标基准价一个百分点的扣1分，投标有效报价低于评标基准价一个百分点的扣0.5分。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Merge w:val="continue"/>
            <w:vAlign w:val="center"/>
          </w:tcPr>
          <w:p>
            <w:pPr>
              <w:spacing w:line="320" w:lineRule="exact"/>
              <w:jc w:val="center"/>
              <w:rPr>
                <w:rFonts w:hint="eastAsia" w:ascii="Arial" w:hAnsi="Arial" w:cs="Arial"/>
                <w:szCs w:val="21"/>
              </w:rPr>
            </w:pPr>
          </w:p>
        </w:tc>
        <w:tc>
          <w:tcPr>
            <w:tcW w:w="1690" w:type="dxa"/>
            <w:vAlign w:val="center"/>
          </w:tcPr>
          <w:p>
            <w:pPr>
              <w:spacing w:line="320" w:lineRule="exact"/>
              <w:jc w:val="center"/>
              <w:rPr>
                <w:rFonts w:hint="eastAsia" w:ascii="Arial" w:hAnsi="Arial" w:cs="Arial"/>
                <w:szCs w:val="21"/>
              </w:rPr>
            </w:pPr>
            <w:r>
              <w:rPr>
                <w:rFonts w:hint="eastAsia" w:ascii="Arial" w:hAnsi="Arial" w:cs="Arial"/>
                <w:szCs w:val="21"/>
              </w:rPr>
              <w:t>商务标响应情况</w:t>
            </w:r>
          </w:p>
          <w:p>
            <w:pPr>
              <w:spacing w:line="320" w:lineRule="exact"/>
              <w:jc w:val="center"/>
              <w:rPr>
                <w:rFonts w:hint="eastAsia" w:ascii="Arial" w:hAnsi="Arial" w:cs="Arial"/>
                <w:szCs w:val="21"/>
              </w:rPr>
            </w:pPr>
            <w:r>
              <w:rPr>
                <w:rFonts w:hint="eastAsia" w:ascii="Arial" w:hAnsi="Arial" w:cs="Arial"/>
                <w:szCs w:val="21"/>
              </w:rPr>
              <w:t>（</w:t>
            </w:r>
            <w:r>
              <w:rPr>
                <w:rFonts w:ascii="Arial" w:hAnsi="Arial" w:cs="Arial"/>
                <w:szCs w:val="21"/>
              </w:rPr>
              <w:t>1</w:t>
            </w:r>
            <w:r>
              <w:rPr>
                <w:rFonts w:hint="eastAsia" w:ascii="Arial" w:hAnsi="Arial" w:cs="Arial"/>
                <w:szCs w:val="21"/>
              </w:rPr>
              <w:t>0分）</w:t>
            </w:r>
          </w:p>
        </w:tc>
        <w:tc>
          <w:tcPr>
            <w:tcW w:w="5398" w:type="dxa"/>
            <w:vAlign w:val="center"/>
          </w:tcPr>
          <w:p>
            <w:pPr>
              <w:spacing w:line="320" w:lineRule="exact"/>
              <w:rPr>
                <w:rFonts w:hint="eastAsia" w:ascii="Arial" w:hAnsi="Arial" w:cs="Arial"/>
                <w:szCs w:val="21"/>
              </w:rPr>
            </w:pPr>
            <w:r>
              <w:rPr>
                <w:rFonts w:hint="eastAsia" w:ascii="Arial" w:hAnsi="Arial" w:cs="Arial"/>
                <w:szCs w:val="21"/>
              </w:rPr>
              <w:t>不能实质性满足采购文件重要商务条款要求的为无效投标。在满足招标文件重要商务条款的基础上，对投标人商务条款响应程度进行综合比较评价：</w:t>
            </w:r>
          </w:p>
          <w:p>
            <w:pPr>
              <w:spacing w:line="320" w:lineRule="exact"/>
              <w:rPr>
                <w:rFonts w:hint="eastAsia" w:ascii="Arial" w:hAnsi="Arial" w:cs="Arial"/>
                <w:szCs w:val="21"/>
              </w:rPr>
            </w:pPr>
            <w:r>
              <w:rPr>
                <w:rFonts w:hint="eastAsia" w:ascii="Arial" w:hAnsi="Arial" w:cs="Arial"/>
                <w:szCs w:val="21"/>
              </w:rPr>
              <w:t>第一档，响应全面，描述完备、细致，完全满足 且部分优于采购需求，得</w:t>
            </w:r>
            <w:r>
              <w:rPr>
                <w:rFonts w:ascii="Arial" w:hAnsi="Arial" w:cs="Arial"/>
                <w:szCs w:val="21"/>
              </w:rPr>
              <w:t>7-10</w:t>
            </w:r>
            <w:r>
              <w:rPr>
                <w:rFonts w:hint="eastAsia" w:ascii="Arial" w:hAnsi="Arial" w:cs="Arial"/>
                <w:szCs w:val="21"/>
              </w:rPr>
              <w:t xml:space="preserve">分；  </w:t>
            </w:r>
          </w:p>
          <w:p>
            <w:pPr>
              <w:spacing w:line="320" w:lineRule="exact"/>
              <w:rPr>
                <w:rFonts w:hint="eastAsia" w:ascii="Arial" w:hAnsi="Arial" w:cs="Arial"/>
                <w:szCs w:val="21"/>
              </w:rPr>
            </w:pPr>
            <w:r>
              <w:rPr>
                <w:rFonts w:hint="eastAsia" w:ascii="Arial" w:hAnsi="Arial" w:cs="Arial"/>
                <w:szCs w:val="21"/>
              </w:rPr>
              <w:t>第二档，响应较全面、细致，满足采购需求，得</w:t>
            </w:r>
            <w:r>
              <w:rPr>
                <w:rFonts w:ascii="Arial" w:hAnsi="Arial" w:cs="Arial"/>
                <w:szCs w:val="21"/>
              </w:rPr>
              <w:t>4-6</w:t>
            </w:r>
            <w:r>
              <w:rPr>
                <w:rFonts w:hint="eastAsia" w:ascii="Arial" w:hAnsi="Arial" w:cs="Arial"/>
                <w:szCs w:val="21"/>
              </w:rPr>
              <w:t xml:space="preserve">分；  </w:t>
            </w:r>
          </w:p>
          <w:p>
            <w:pPr>
              <w:spacing w:line="320" w:lineRule="exact"/>
              <w:rPr>
                <w:rFonts w:hint="eastAsia" w:ascii="Arial" w:hAnsi="Arial" w:cs="Arial"/>
                <w:szCs w:val="21"/>
              </w:rPr>
            </w:pPr>
            <w:r>
              <w:rPr>
                <w:rFonts w:hint="eastAsia" w:ascii="Arial" w:hAnsi="Arial" w:cs="Arial"/>
                <w:szCs w:val="21"/>
              </w:rPr>
              <w:t>第三档，基本响应采购需求，但有缺陷或部分一</w:t>
            </w:r>
          </w:p>
          <w:p>
            <w:pPr>
              <w:spacing w:line="320" w:lineRule="exact"/>
              <w:rPr>
                <w:rFonts w:hint="eastAsia" w:ascii="Arial" w:hAnsi="Arial" w:cs="Arial"/>
                <w:szCs w:val="21"/>
              </w:rPr>
            </w:pPr>
            <w:r>
              <w:rPr>
                <w:rFonts w:hint="eastAsia" w:ascii="Arial" w:hAnsi="Arial" w:cs="Arial"/>
                <w:szCs w:val="21"/>
              </w:rPr>
              <w:t>般指标不满足需求，得 0-</w:t>
            </w:r>
            <w:r>
              <w:rPr>
                <w:rFonts w:ascii="Arial" w:hAnsi="Arial" w:cs="Arial"/>
                <w:szCs w:val="21"/>
              </w:rPr>
              <w:t>3</w:t>
            </w:r>
            <w:r>
              <w:rPr>
                <w:rFonts w:hint="eastAsia" w:ascii="Arial" w:hAnsi="Arial" w:cs="Arial"/>
                <w:szCs w:val="21"/>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Merge w:val="continue"/>
            <w:vAlign w:val="center"/>
          </w:tcPr>
          <w:p>
            <w:pPr>
              <w:spacing w:line="320" w:lineRule="exact"/>
              <w:jc w:val="center"/>
              <w:rPr>
                <w:rFonts w:hint="eastAsia" w:ascii="Arial" w:hAnsi="Arial" w:cs="Arial"/>
                <w:szCs w:val="21"/>
              </w:rPr>
            </w:pPr>
          </w:p>
        </w:tc>
        <w:tc>
          <w:tcPr>
            <w:tcW w:w="1690" w:type="dxa"/>
            <w:vAlign w:val="center"/>
          </w:tcPr>
          <w:p>
            <w:pPr>
              <w:spacing w:line="320" w:lineRule="exact"/>
              <w:jc w:val="center"/>
              <w:rPr>
                <w:rFonts w:ascii="Arial" w:hAnsi="Arial" w:cs="Arial"/>
                <w:szCs w:val="21"/>
              </w:rPr>
            </w:pPr>
            <w:r>
              <w:rPr>
                <w:rFonts w:hint="eastAsia" w:ascii="Arial" w:hAnsi="Arial" w:cs="Arial"/>
                <w:szCs w:val="21"/>
              </w:rPr>
              <w:t>相似</w:t>
            </w:r>
            <w:r>
              <w:rPr>
                <w:rFonts w:ascii="Arial" w:hAnsi="Arial" w:cs="Arial"/>
                <w:szCs w:val="21"/>
              </w:rPr>
              <w:t>业绩（</w:t>
            </w:r>
            <w:r>
              <w:rPr>
                <w:rFonts w:hint="eastAsia" w:ascii="Arial" w:hAnsi="Arial" w:cs="Arial"/>
                <w:szCs w:val="21"/>
              </w:rPr>
              <w:t>10</w:t>
            </w:r>
            <w:r>
              <w:rPr>
                <w:rFonts w:ascii="Arial" w:hAnsi="Arial" w:cs="Arial"/>
                <w:szCs w:val="21"/>
              </w:rPr>
              <w:t>分）</w:t>
            </w:r>
          </w:p>
        </w:tc>
        <w:tc>
          <w:tcPr>
            <w:tcW w:w="5398" w:type="dxa"/>
          </w:tcPr>
          <w:p>
            <w:pPr>
              <w:spacing w:line="320" w:lineRule="exact"/>
              <w:rPr>
                <w:rFonts w:ascii="Arial" w:hAnsi="Arial" w:cs="Arial"/>
                <w:szCs w:val="21"/>
              </w:rPr>
            </w:pPr>
            <w:r>
              <w:rPr>
                <w:rFonts w:hint="eastAsia" w:ascii="宋体" w:hAnsi="宋体" w:cs="宋体"/>
                <w:color w:val="000000"/>
                <w:kern w:val="0"/>
                <w:szCs w:val="21"/>
              </w:rPr>
              <w:t>近三年内，每具备1个</w:t>
            </w:r>
            <w:r>
              <w:rPr>
                <w:rFonts w:ascii="宋体" w:hAnsi="宋体" w:cs="宋体"/>
                <w:color w:val="000000"/>
                <w:kern w:val="0"/>
                <w:szCs w:val="21"/>
              </w:rPr>
              <w:t>1</w:t>
            </w:r>
            <w:r>
              <w:rPr>
                <w:rFonts w:hint="eastAsia" w:ascii="宋体" w:hAnsi="宋体" w:cs="宋体"/>
                <w:color w:val="000000"/>
                <w:kern w:val="0"/>
                <w:szCs w:val="21"/>
              </w:rPr>
              <w:t>0万以上同类业绩，得2分</w:t>
            </w:r>
            <w:r>
              <w:rPr>
                <w:rFonts w:hint="eastAsia" w:ascii="等线" w:hAnsi="等线" w:eastAsia="等线" w:cs="宋体"/>
                <w:color w:val="000000"/>
                <w:kern w:val="0"/>
                <w:szCs w:val="21"/>
              </w:rPr>
              <w:t>，</w:t>
            </w:r>
            <w:r>
              <w:rPr>
                <w:rFonts w:hint="eastAsia" w:ascii="Arial" w:hAnsi="Arial" w:cs="Arial"/>
                <w:szCs w:val="21"/>
              </w:rPr>
              <w:t>此项</w:t>
            </w:r>
            <w:r>
              <w:rPr>
                <w:rFonts w:ascii="Arial" w:hAnsi="Arial" w:cs="Arial"/>
                <w:szCs w:val="21"/>
              </w:rPr>
              <w:t>最高得</w:t>
            </w:r>
            <w:r>
              <w:rPr>
                <w:rFonts w:hint="eastAsia" w:ascii="Arial" w:hAnsi="Arial" w:cs="Arial"/>
                <w:szCs w:val="21"/>
              </w:rPr>
              <w:t>10</w:t>
            </w:r>
            <w:r>
              <w:rPr>
                <w:rFonts w:ascii="Arial" w:hAnsi="Arial" w:cs="Arial"/>
                <w:szCs w:val="21"/>
              </w:rPr>
              <w:t>分</w:t>
            </w:r>
            <w:r>
              <w:rPr>
                <w:rFonts w:hint="eastAsia" w:ascii="等线" w:hAnsi="等线" w:eastAsia="等线" w:cs="宋体"/>
                <w:color w:val="000000"/>
                <w:kern w:val="0"/>
                <w:szCs w:val="21"/>
              </w:rPr>
              <w:t>；</w:t>
            </w:r>
            <w:r>
              <w:rPr>
                <w:rFonts w:ascii="Arial" w:hAnsi="Arial" w:cs="Arial"/>
                <w:szCs w:val="21"/>
              </w:rPr>
              <w:t xml:space="preserve"> </w:t>
            </w:r>
          </w:p>
          <w:p>
            <w:pPr>
              <w:pStyle w:val="2"/>
              <w:snapToGrid w:val="0"/>
              <w:rPr>
                <w:rFonts w:ascii="Arial" w:hAnsi="Arial" w:cs="Arial"/>
              </w:rPr>
            </w:pPr>
            <w:r>
              <w:rPr>
                <w:rFonts w:ascii="Arial" w:hAnsi="Arial" w:cs="Arial"/>
                <w:b/>
              </w:rPr>
              <w:t>注明:</w:t>
            </w:r>
            <w:r>
              <w:rPr>
                <w:rFonts w:ascii="Arial" w:hAnsi="Arial" w:cs="Arial"/>
              </w:rPr>
              <w:t>.</w:t>
            </w:r>
            <w:r>
              <w:rPr>
                <w:rFonts w:hint="eastAsia" w:ascii="Arial" w:hAnsi="Arial" w:cs="Arial"/>
              </w:rPr>
              <w:t>1</w:t>
            </w:r>
            <w:r>
              <w:rPr>
                <w:rFonts w:ascii="Arial" w:hAnsi="Arial" w:cs="Arial"/>
              </w:rPr>
              <w:t>.以与最终用户签订的合同原件为准</w:t>
            </w:r>
            <w:r>
              <w:rPr>
                <w:rFonts w:hint="eastAsia"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Merge w:val="restart"/>
            <w:vAlign w:val="center"/>
          </w:tcPr>
          <w:p>
            <w:pPr>
              <w:spacing w:line="320" w:lineRule="exact"/>
              <w:jc w:val="center"/>
              <w:rPr>
                <w:rFonts w:hint="eastAsia" w:ascii="Arial" w:hAnsi="Arial" w:cs="Arial"/>
                <w:szCs w:val="21"/>
              </w:rPr>
            </w:pPr>
            <w:r>
              <w:rPr>
                <w:rFonts w:hint="eastAsia" w:ascii="Arial" w:hAnsi="Arial" w:cs="Arial"/>
                <w:szCs w:val="21"/>
              </w:rPr>
              <w:t>技术部分（共</w:t>
            </w:r>
            <w:r>
              <w:rPr>
                <w:rFonts w:hint="eastAsia" w:ascii="Arial" w:hAnsi="Arial" w:cs="Arial"/>
                <w:szCs w:val="21"/>
                <w:lang w:val="en-US" w:eastAsia="zh-CN"/>
              </w:rPr>
              <w:t>6</w:t>
            </w:r>
            <w:r>
              <w:rPr>
                <w:rFonts w:hint="eastAsia" w:ascii="Arial" w:hAnsi="Arial" w:cs="Arial"/>
                <w:szCs w:val="21"/>
              </w:rPr>
              <w:t>0分）</w:t>
            </w:r>
          </w:p>
        </w:tc>
        <w:tc>
          <w:tcPr>
            <w:tcW w:w="1690" w:type="dxa"/>
            <w:vAlign w:val="center"/>
          </w:tcPr>
          <w:p>
            <w:pPr>
              <w:spacing w:line="320" w:lineRule="exact"/>
              <w:jc w:val="center"/>
              <w:rPr>
                <w:rFonts w:ascii="Arial" w:hAnsi="Arial" w:cs="Arial"/>
                <w:szCs w:val="21"/>
              </w:rPr>
            </w:pPr>
            <w:r>
              <w:rPr>
                <w:rFonts w:hint="eastAsia" w:ascii="Arial" w:hAnsi="Arial" w:cs="Arial"/>
                <w:szCs w:val="21"/>
              </w:rPr>
              <w:t>测评方案（</w:t>
            </w:r>
            <w:r>
              <w:rPr>
                <w:rFonts w:hint="eastAsia" w:ascii="Arial" w:hAnsi="Arial" w:cs="Arial"/>
                <w:szCs w:val="21"/>
                <w:lang w:val="en-US" w:eastAsia="zh-CN"/>
              </w:rPr>
              <w:t>15</w:t>
            </w:r>
            <w:r>
              <w:rPr>
                <w:rFonts w:hint="eastAsia" w:ascii="Arial" w:hAnsi="Arial" w:cs="Arial"/>
                <w:szCs w:val="21"/>
              </w:rPr>
              <w:t>分）</w:t>
            </w:r>
          </w:p>
        </w:tc>
        <w:tc>
          <w:tcPr>
            <w:tcW w:w="5398" w:type="dxa"/>
            <w:vAlign w:val="center"/>
          </w:tcPr>
          <w:p>
            <w:pPr>
              <w:spacing w:line="320" w:lineRule="exact"/>
              <w:rPr>
                <w:rFonts w:ascii="Arial" w:hAnsi="Arial" w:cs="Arial"/>
                <w:szCs w:val="21"/>
              </w:rPr>
            </w:pPr>
            <w:r>
              <w:rPr>
                <w:rFonts w:hint="eastAsia" w:ascii="Arial" w:hAnsi="Arial" w:cs="Arial"/>
                <w:szCs w:val="21"/>
              </w:rPr>
              <w:t>熟悉用户网络以及安全现状，方案设计详细合理，安全性、扩展性强，能够按照标书要求编制针对项目的设计方案及提供技术支持服务方案，根据投标人提供的测评方案设计及测评技术指标、参数的可行性、先进性、实用性、合理性、扩展性等方面情况，由评委分三个档次在1-</w:t>
            </w:r>
            <w:r>
              <w:rPr>
                <w:rFonts w:ascii="Arial" w:hAnsi="Arial" w:cs="Arial"/>
                <w:szCs w:val="21"/>
              </w:rPr>
              <w:t>20</w:t>
            </w:r>
            <w:r>
              <w:rPr>
                <w:rFonts w:hint="eastAsia" w:ascii="Arial" w:hAnsi="Arial" w:cs="Arial"/>
                <w:szCs w:val="21"/>
              </w:rPr>
              <w:t>分之间打分。</w:t>
            </w:r>
          </w:p>
          <w:p>
            <w:pPr>
              <w:spacing w:line="320" w:lineRule="exact"/>
              <w:rPr>
                <w:rFonts w:hint="eastAsia" w:ascii="Arial" w:hAnsi="Arial" w:cs="Arial"/>
                <w:szCs w:val="21"/>
              </w:rPr>
            </w:pPr>
            <w:r>
              <w:rPr>
                <w:rFonts w:hint="eastAsia" w:ascii="Arial" w:hAnsi="Arial" w:cs="Arial"/>
                <w:szCs w:val="21"/>
              </w:rPr>
              <w:t>第一档：对本项目针对性强，技术方案先进、合理、完整，思路清晰，有完整、准确的网络拓扑图和连接图，符合国家及行业相关标准和规范，能完全满足招标人要求，得</w:t>
            </w:r>
            <w:r>
              <w:rPr>
                <w:rFonts w:ascii="Arial" w:hAnsi="Arial" w:cs="Arial"/>
                <w:szCs w:val="21"/>
              </w:rPr>
              <w:t>1</w:t>
            </w:r>
            <w:r>
              <w:rPr>
                <w:rFonts w:hint="eastAsia" w:ascii="Arial" w:hAnsi="Arial" w:cs="Arial"/>
                <w:szCs w:val="21"/>
                <w:lang w:val="en-US" w:eastAsia="zh-CN"/>
              </w:rPr>
              <w:t>2</w:t>
            </w:r>
            <w:r>
              <w:rPr>
                <w:rFonts w:hint="eastAsia" w:ascii="Arial" w:hAnsi="Arial" w:cs="Arial"/>
                <w:szCs w:val="21"/>
              </w:rPr>
              <w:t>-</w:t>
            </w:r>
            <w:r>
              <w:rPr>
                <w:rFonts w:hint="eastAsia" w:ascii="Arial" w:hAnsi="Arial" w:cs="Arial"/>
                <w:szCs w:val="21"/>
                <w:lang w:val="en-US" w:eastAsia="zh-CN"/>
              </w:rPr>
              <w:t>15</w:t>
            </w:r>
            <w:r>
              <w:rPr>
                <w:rFonts w:hint="eastAsia" w:ascii="Arial" w:hAnsi="Arial" w:cs="Arial"/>
                <w:szCs w:val="21"/>
              </w:rPr>
              <w:t>分。</w:t>
            </w:r>
          </w:p>
          <w:p>
            <w:pPr>
              <w:spacing w:line="320" w:lineRule="exact"/>
              <w:rPr>
                <w:rFonts w:ascii="Arial" w:hAnsi="Arial" w:cs="Arial"/>
                <w:szCs w:val="21"/>
              </w:rPr>
            </w:pPr>
            <w:r>
              <w:rPr>
                <w:rFonts w:hint="eastAsia" w:ascii="Arial" w:hAnsi="Arial" w:cs="Arial"/>
                <w:szCs w:val="21"/>
              </w:rPr>
              <w:t>第二档：对本项目针对性较强，技术方案先进、合理，有完整、准确的网络拓扑图和连接图，符合国家及行业相关标准和规范，基本满足招标人要求，得</w:t>
            </w:r>
            <w:r>
              <w:rPr>
                <w:rFonts w:hint="eastAsia" w:ascii="Arial" w:hAnsi="Arial" w:cs="Arial"/>
                <w:szCs w:val="21"/>
                <w:lang w:val="en-US" w:eastAsia="zh-CN"/>
              </w:rPr>
              <w:t>7</w:t>
            </w:r>
            <w:r>
              <w:rPr>
                <w:rFonts w:hint="eastAsia" w:ascii="Arial" w:hAnsi="Arial" w:cs="Arial"/>
                <w:szCs w:val="21"/>
              </w:rPr>
              <w:t>-</w:t>
            </w:r>
            <w:r>
              <w:rPr>
                <w:rFonts w:ascii="Arial" w:hAnsi="Arial" w:cs="Arial"/>
                <w:szCs w:val="21"/>
              </w:rPr>
              <w:t>1</w:t>
            </w:r>
            <w:r>
              <w:rPr>
                <w:rFonts w:hint="eastAsia" w:ascii="Arial" w:hAnsi="Arial" w:cs="Arial"/>
                <w:szCs w:val="21"/>
                <w:lang w:val="en-US" w:eastAsia="zh-CN"/>
              </w:rPr>
              <w:t>1</w:t>
            </w:r>
            <w:r>
              <w:rPr>
                <w:rFonts w:hint="eastAsia" w:ascii="Arial" w:hAnsi="Arial" w:cs="Arial"/>
                <w:szCs w:val="21"/>
              </w:rPr>
              <w:t>分。</w:t>
            </w:r>
            <w:r>
              <w:rPr>
                <w:rFonts w:hint="eastAsia" w:ascii="Arial" w:hAnsi="Arial" w:cs="Arial"/>
                <w:szCs w:val="21"/>
              </w:rPr>
              <w:br w:type="textWrapping"/>
            </w:r>
            <w:r>
              <w:rPr>
                <w:rFonts w:hint="eastAsia" w:ascii="Arial" w:hAnsi="Arial" w:cs="Arial"/>
                <w:szCs w:val="21"/>
              </w:rPr>
              <w:t>第三档：对本项目针对性较弱，技术方案基本合理、基本符合相关标准和规范，但在满足招标人要求方面欠缺，思路欠清晰。无完整、准确的网络拓扑图和连接图。得1-</w:t>
            </w:r>
            <w:r>
              <w:rPr>
                <w:rFonts w:hint="eastAsia" w:ascii="Arial" w:hAnsi="Arial" w:cs="Arial"/>
                <w:szCs w:val="21"/>
                <w:lang w:val="en-US" w:eastAsia="zh-CN"/>
              </w:rPr>
              <w:t>6</w:t>
            </w:r>
            <w:r>
              <w:rPr>
                <w:rFonts w:hint="eastAsia" w:ascii="Arial" w:hAnsi="Arial" w:cs="Arial"/>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Merge w:val="continue"/>
            <w:vAlign w:val="center"/>
          </w:tcPr>
          <w:p>
            <w:pPr>
              <w:spacing w:line="320" w:lineRule="exact"/>
              <w:jc w:val="center"/>
              <w:rPr>
                <w:rFonts w:hint="eastAsia" w:ascii="Arial" w:hAnsi="Arial" w:cs="Arial"/>
                <w:szCs w:val="21"/>
              </w:rPr>
            </w:pPr>
          </w:p>
        </w:tc>
        <w:tc>
          <w:tcPr>
            <w:tcW w:w="1690" w:type="dxa"/>
            <w:vAlign w:val="center"/>
          </w:tcPr>
          <w:p>
            <w:pPr>
              <w:spacing w:line="320" w:lineRule="exact"/>
              <w:jc w:val="center"/>
              <w:rPr>
                <w:rFonts w:ascii="Arial" w:hAnsi="Arial" w:cs="Arial"/>
                <w:szCs w:val="21"/>
              </w:rPr>
            </w:pPr>
            <w:r>
              <w:rPr>
                <w:rFonts w:hint="eastAsia" w:ascii="Arial" w:hAnsi="Arial" w:cs="Arial"/>
                <w:szCs w:val="21"/>
              </w:rPr>
              <w:t>整改方案（</w:t>
            </w:r>
            <w:r>
              <w:rPr>
                <w:rFonts w:hint="eastAsia" w:ascii="Arial" w:hAnsi="Arial" w:cs="Arial"/>
                <w:szCs w:val="21"/>
                <w:lang w:val="en-US" w:eastAsia="zh-CN"/>
              </w:rPr>
              <w:t>15</w:t>
            </w:r>
            <w:r>
              <w:rPr>
                <w:rFonts w:hint="eastAsia" w:ascii="Arial" w:hAnsi="Arial" w:cs="Arial"/>
                <w:szCs w:val="21"/>
              </w:rPr>
              <w:t>分）</w:t>
            </w:r>
          </w:p>
        </w:tc>
        <w:tc>
          <w:tcPr>
            <w:tcW w:w="5398" w:type="dxa"/>
            <w:vAlign w:val="center"/>
          </w:tcPr>
          <w:p>
            <w:pPr>
              <w:spacing w:line="320" w:lineRule="exact"/>
              <w:rPr>
                <w:rFonts w:ascii="Arial" w:hAnsi="Arial" w:cs="Arial"/>
                <w:szCs w:val="21"/>
              </w:rPr>
            </w:pPr>
            <w:r>
              <w:rPr>
                <w:rFonts w:hint="eastAsia" w:ascii="Arial" w:hAnsi="Arial" w:cs="Arial"/>
                <w:szCs w:val="21"/>
              </w:rPr>
              <w:t>熟悉用户网络现状，方案设计先进完整，性能优越得</w:t>
            </w:r>
            <w:r>
              <w:rPr>
                <w:rFonts w:ascii="Arial" w:hAnsi="Arial" w:cs="Arial"/>
                <w:szCs w:val="21"/>
              </w:rPr>
              <w:t>1</w:t>
            </w:r>
            <w:r>
              <w:rPr>
                <w:rFonts w:hint="eastAsia" w:ascii="Arial" w:hAnsi="Arial" w:cs="Arial"/>
                <w:szCs w:val="21"/>
                <w:lang w:val="en-US" w:eastAsia="zh-CN"/>
              </w:rPr>
              <w:t>2</w:t>
            </w:r>
            <w:r>
              <w:rPr>
                <w:rFonts w:hint="eastAsia" w:ascii="Arial" w:hAnsi="Arial" w:cs="Arial"/>
                <w:szCs w:val="21"/>
              </w:rPr>
              <w:t>-</w:t>
            </w:r>
            <w:r>
              <w:rPr>
                <w:rFonts w:hint="eastAsia" w:ascii="Arial" w:hAnsi="Arial" w:cs="Arial"/>
                <w:szCs w:val="21"/>
                <w:lang w:val="en-US" w:eastAsia="zh-CN"/>
              </w:rPr>
              <w:t>15</w:t>
            </w:r>
            <w:r>
              <w:rPr>
                <w:rFonts w:hint="eastAsia" w:ascii="Arial" w:hAnsi="Arial" w:cs="Arial"/>
                <w:szCs w:val="21"/>
              </w:rPr>
              <w:t>分；</w:t>
            </w:r>
          </w:p>
          <w:p>
            <w:pPr>
              <w:spacing w:line="320" w:lineRule="exact"/>
              <w:rPr>
                <w:rFonts w:hint="eastAsia" w:ascii="Arial" w:hAnsi="Arial" w:cs="Arial"/>
                <w:szCs w:val="21"/>
              </w:rPr>
            </w:pPr>
            <w:r>
              <w:rPr>
                <w:rFonts w:hint="eastAsia" w:ascii="Arial" w:hAnsi="Arial" w:cs="Arial"/>
                <w:szCs w:val="21"/>
              </w:rPr>
              <w:t>方案设计合理准确，性能满足招标文件要求，得</w:t>
            </w:r>
            <w:r>
              <w:rPr>
                <w:rFonts w:hint="eastAsia" w:ascii="Arial" w:hAnsi="Arial" w:cs="Arial"/>
                <w:szCs w:val="21"/>
                <w:lang w:val="en-US" w:eastAsia="zh-CN"/>
              </w:rPr>
              <w:t>7</w:t>
            </w:r>
            <w:r>
              <w:rPr>
                <w:rFonts w:hint="eastAsia" w:ascii="Arial" w:hAnsi="Arial" w:cs="Arial"/>
                <w:szCs w:val="21"/>
              </w:rPr>
              <w:t>-</w:t>
            </w:r>
            <w:r>
              <w:rPr>
                <w:rFonts w:ascii="Arial" w:hAnsi="Arial" w:cs="Arial"/>
                <w:szCs w:val="21"/>
              </w:rPr>
              <w:t>1</w:t>
            </w:r>
            <w:r>
              <w:rPr>
                <w:rFonts w:hint="eastAsia" w:ascii="Arial" w:hAnsi="Arial" w:cs="Arial"/>
                <w:szCs w:val="21"/>
                <w:lang w:val="en-US" w:eastAsia="zh-CN"/>
              </w:rPr>
              <w:t>1</w:t>
            </w:r>
            <w:r>
              <w:rPr>
                <w:rFonts w:hint="eastAsia" w:ascii="Arial" w:hAnsi="Arial" w:cs="Arial"/>
                <w:szCs w:val="21"/>
              </w:rPr>
              <w:t>分；</w:t>
            </w:r>
          </w:p>
          <w:p>
            <w:pPr>
              <w:spacing w:line="320" w:lineRule="exact"/>
              <w:rPr>
                <w:rFonts w:ascii="Arial" w:hAnsi="Arial" w:cs="Arial"/>
                <w:szCs w:val="21"/>
              </w:rPr>
            </w:pPr>
            <w:r>
              <w:rPr>
                <w:rFonts w:hint="eastAsia" w:ascii="Arial" w:hAnsi="Arial" w:cs="Arial"/>
                <w:szCs w:val="21"/>
              </w:rPr>
              <w:t>方案不够完整，性能基本满足招标文件要求的得1-</w:t>
            </w:r>
            <w:r>
              <w:rPr>
                <w:rFonts w:hint="eastAsia" w:ascii="Arial" w:hAnsi="Arial" w:cs="Arial"/>
                <w:szCs w:val="21"/>
                <w:lang w:val="en-US" w:eastAsia="zh-CN"/>
              </w:rPr>
              <w:t>6</w:t>
            </w:r>
            <w:r>
              <w:rPr>
                <w:rFonts w:hint="eastAsia" w:ascii="Arial" w:hAnsi="Arial" w:cs="Arial"/>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Merge w:val="continue"/>
            <w:vAlign w:val="center"/>
          </w:tcPr>
          <w:p>
            <w:pPr>
              <w:spacing w:line="320" w:lineRule="exact"/>
              <w:jc w:val="center"/>
              <w:rPr>
                <w:rFonts w:hint="eastAsia" w:ascii="Arial" w:hAnsi="Arial" w:cs="Arial"/>
                <w:szCs w:val="21"/>
              </w:rPr>
            </w:pPr>
          </w:p>
        </w:tc>
        <w:tc>
          <w:tcPr>
            <w:tcW w:w="1690" w:type="dxa"/>
            <w:vAlign w:val="center"/>
          </w:tcPr>
          <w:p>
            <w:pPr>
              <w:spacing w:line="320" w:lineRule="exact"/>
              <w:jc w:val="center"/>
              <w:rPr>
                <w:rFonts w:ascii="Arial" w:hAnsi="Arial" w:cs="Arial"/>
                <w:szCs w:val="21"/>
              </w:rPr>
            </w:pPr>
            <w:r>
              <w:rPr>
                <w:rFonts w:hint="eastAsia" w:ascii="Arial" w:hAnsi="Arial" w:cs="Arial"/>
                <w:szCs w:val="21"/>
              </w:rPr>
              <w:t>培训（10分）</w:t>
            </w:r>
          </w:p>
        </w:tc>
        <w:tc>
          <w:tcPr>
            <w:tcW w:w="5398" w:type="dxa"/>
            <w:vAlign w:val="center"/>
          </w:tcPr>
          <w:p>
            <w:pPr>
              <w:spacing w:line="320" w:lineRule="exact"/>
              <w:rPr>
                <w:rFonts w:ascii="Arial" w:hAnsi="Arial" w:cs="Arial"/>
                <w:szCs w:val="21"/>
              </w:rPr>
            </w:pPr>
            <w:r>
              <w:rPr>
                <w:rFonts w:hint="eastAsia" w:ascii="Arial" w:hAnsi="Arial" w:cs="Arial"/>
                <w:szCs w:val="21"/>
              </w:rPr>
              <w:t>按照项目实施的时间、人员、培训安排的优劣进行分档打分，培训内容包括网络安全基础知识、等保测评知识交流、网络安全法知识普及、安全常识培训、安全意识培训：</w:t>
            </w:r>
          </w:p>
          <w:p>
            <w:pPr>
              <w:spacing w:line="320" w:lineRule="exact"/>
              <w:rPr>
                <w:rFonts w:hint="eastAsia" w:ascii="Arial" w:hAnsi="Arial" w:cs="Arial"/>
                <w:szCs w:val="21"/>
              </w:rPr>
            </w:pPr>
            <w:r>
              <w:rPr>
                <w:rFonts w:hint="eastAsia" w:ascii="Arial" w:hAnsi="Arial" w:cs="Arial"/>
                <w:szCs w:val="21"/>
              </w:rPr>
              <w:t>第一档，实施时间、人员和培训计划及培训内容方面安排合理可行，得9-10分；时间、人员和培训计划及培训内容方面安排合理可行，但有不足之处，得6-8分；</w:t>
            </w:r>
          </w:p>
          <w:p>
            <w:pPr>
              <w:spacing w:line="320" w:lineRule="exact"/>
              <w:rPr>
                <w:rFonts w:ascii="Arial" w:hAnsi="Arial" w:cs="Arial"/>
                <w:szCs w:val="21"/>
              </w:rPr>
            </w:pPr>
            <w:r>
              <w:rPr>
                <w:rFonts w:hint="eastAsia" w:ascii="Arial" w:hAnsi="Arial" w:cs="Arial"/>
                <w:szCs w:val="21"/>
              </w:rPr>
              <w:t>第三档，实施时间、人员和培训计划及培训内容方面安排有缺陷，得3-5分。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Merge w:val="continue"/>
            <w:vAlign w:val="center"/>
          </w:tcPr>
          <w:p>
            <w:pPr>
              <w:spacing w:line="320" w:lineRule="exact"/>
              <w:jc w:val="center"/>
              <w:rPr>
                <w:rFonts w:hint="eastAsia" w:ascii="Arial" w:hAnsi="Arial" w:cs="Arial"/>
                <w:szCs w:val="21"/>
              </w:rPr>
            </w:pPr>
          </w:p>
        </w:tc>
        <w:tc>
          <w:tcPr>
            <w:tcW w:w="1690" w:type="dxa"/>
            <w:vAlign w:val="center"/>
          </w:tcPr>
          <w:p>
            <w:pPr>
              <w:spacing w:line="320" w:lineRule="exact"/>
              <w:jc w:val="center"/>
              <w:rPr>
                <w:rFonts w:ascii="Arial" w:hAnsi="Arial" w:cs="Arial"/>
                <w:szCs w:val="21"/>
              </w:rPr>
            </w:pPr>
            <w:r>
              <w:rPr>
                <w:rFonts w:hint="eastAsia" w:ascii="Arial" w:hAnsi="Arial" w:cs="Arial"/>
                <w:szCs w:val="21"/>
              </w:rPr>
              <w:t>售后服务承诺（10分）</w:t>
            </w:r>
          </w:p>
        </w:tc>
        <w:tc>
          <w:tcPr>
            <w:tcW w:w="5398" w:type="dxa"/>
            <w:vAlign w:val="center"/>
          </w:tcPr>
          <w:p>
            <w:pPr>
              <w:spacing w:line="320" w:lineRule="exact"/>
              <w:rPr>
                <w:rFonts w:ascii="Arial" w:hAnsi="Arial" w:cs="Arial"/>
                <w:szCs w:val="21"/>
              </w:rPr>
            </w:pPr>
            <w:r>
              <w:rPr>
                <w:rFonts w:hint="eastAsia" w:ascii="Arial" w:hAnsi="Arial" w:cs="Arial"/>
                <w:szCs w:val="21"/>
              </w:rPr>
              <w:t>第一档能够主动的提供技术支持和维护、及时相应故障服务的，得9-10分；</w:t>
            </w:r>
          </w:p>
          <w:p>
            <w:pPr>
              <w:spacing w:line="320" w:lineRule="exact"/>
              <w:rPr>
                <w:rFonts w:hint="eastAsia" w:ascii="Arial" w:hAnsi="Arial" w:cs="Arial"/>
                <w:szCs w:val="21"/>
              </w:rPr>
            </w:pPr>
            <w:r>
              <w:rPr>
                <w:rFonts w:hint="eastAsia" w:ascii="Arial" w:hAnsi="Arial" w:cs="Arial"/>
                <w:szCs w:val="21"/>
              </w:rPr>
              <w:t>第二档能够主动的提供技术支持和维护、相应故障服务不及时的，得7-8分；</w:t>
            </w:r>
          </w:p>
          <w:p>
            <w:pPr>
              <w:spacing w:line="320" w:lineRule="exact"/>
              <w:jc w:val="left"/>
              <w:rPr>
                <w:rFonts w:ascii="Arial" w:hAnsi="Arial" w:cs="Arial"/>
                <w:szCs w:val="21"/>
              </w:rPr>
            </w:pPr>
            <w:r>
              <w:rPr>
                <w:rFonts w:hint="eastAsia" w:ascii="Arial" w:hAnsi="Arial" w:cs="Arial"/>
                <w:szCs w:val="21"/>
              </w:rPr>
              <w:t>第三档不能够主动的提供技术支持和维护、相应故障服务不及时的，得5-6分。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Merge w:val="continue"/>
            <w:vAlign w:val="center"/>
          </w:tcPr>
          <w:p>
            <w:pPr>
              <w:spacing w:line="320" w:lineRule="exact"/>
              <w:jc w:val="center"/>
              <w:rPr>
                <w:rFonts w:hint="eastAsia" w:ascii="Arial" w:hAnsi="Arial" w:cs="Arial"/>
                <w:szCs w:val="21"/>
              </w:rPr>
            </w:pPr>
          </w:p>
        </w:tc>
        <w:tc>
          <w:tcPr>
            <w:tcW w:w="1690" w:type="dxa"/>
            <w:vAlign w:val="center"/>
          </w:tcPr>
          <w:p>
            <w:pPr>
              <w:spacing w:line="320" w:lineRule="exact"/>
              <w:jc w:val="center"/>
              <w:rPr>
                <w:rFonts w:ascii="Arial" w:hAnsi="Arial" w:cs="Arial"/>
                <w:szCs w:val="21"/>
              </w:rPr>
            </w:pPr>
            <w:r>
              <w:rPr>
                <w:rFonts w:ascii="Arial" w:hAnsi="Arial" w:cs="Arial"/>
                <w:szCs w:val="21"/>
              </w:rPr>
              <w:t>项目人员配置（</w:t>
            </w:r>
            <w:r>
              <w:rPr>
                <w:rFonts w:hint="eastAsia" w:ascii="Arial" w:hAnsi="Arial" w:cs="Arial"/>
                <w:szCs w:val="21"/>
              </w:rPr>
              <w:t>10</w:t>
            </w:r>
            <w:r>
              <w:rPr>
                <w:rFonts w:ascii="Arial" w:hAnsi="Arial" w:cs="Arial"/>
                <w:szCs w:val="21"/>
              </w:rPr>
              <w:t>分）</w:t>
            </w:r>
          </w:p>
        </w:tc>
        <w:tc>
          <w:tcPr>
            <w:tcW w:w="5398" w:type="dxa"/>
            <w:vAlign w:val="center"/>
          </w:tcPr>
          <w:p>
            <w:pPr>
              <w:numPr>
                <w:ilvl w:val="0"/>
                <w:numId w:val="2"/>
              </w:numPr>
              <w:spacing w:line="320" w:lineRule="exact"/>
              <w:jc w:val="left"/>
              <w:rPr>
                <w:rFonts w:cs="宋体"/>
              </w:rPr>
            </w:pPr>
            <w:r>
              <w:rPr>
                <w:rFonts w:hint="eastAsia" w:cs="宋体"/>
              </w:rPr>
              <w:t>项目组测评师均具备测评资格证书，满足得3分，不满足得0分。</w:t>
            </w:r>
          </w:p>
          <w:p>
            <w:pPr>
              <w:numPr>
                <w:ilvl w:val="0"/>
                <w:numId w:val="2"/>
              </w:numPr>
              <w:spacing w:line="320" w:lineRule="exact"/>
              <w:jc w:val="left"/>
              <w:rPr>
                <w:rFonts w:cs="宋体"/>
              </w:rPr>
            </w:pPr>
            <w:r>
              <w:rPr>
                <w:rFonts w:hint="eastAsia" w:cs="宋体"/>
              </w:rPr>
              <w:t>项目组成员具备三年及以上测评经验的测评师，满足加</w:t>
            </w:r>
            <w:r>
              <w:rPr>
                <w:rFonts w:cs="宋体"/>
              </w:rPr>
              <w:t>4</w:t>
            </w:r>
            <w:r>
              <w:rPr>
                <w:rFonts w:hint="eastAsia" w:cs="宋体"/>
              </w:rPr>
              <w:t>分。</w:t>
            </w:r>
          </w:p>
          <w:p>
            <w:pPr>
              <w:numPr>
                <w:ilvl w:val="0"/>
                <w:numId w:val="2"/>
              </w:numPr>
              <w:spacing w:line="320" w:lineRule="exact"/>
              <w:jc w:val="left"/>
              <w:rPr>
                <w:rFonts w:hint="eastAsia" w:cs="宋体"/>
              </w:rPr>
            </w:pPr>
            <w:r>
              <w:rPr>
                <w:rFonts w:hint="eastAsia" w:ascii="Arial" w:hAnsi="Arial" w:cs="Arial"/>
                <w:szCs w:val="21"/>
              </w:rPr>
              <w:t>项目组渗透工程师具备CISP-PTE（ 注册渗透测试工程师）证书加</w:t>
            </w:r>
            <w:r>
              <w:rPr>
                <w:rFonts w:ascii="Arial" w:hAnsi="Arial" w:cs="Arial"/>
                <w:szCs w:val="21"/>
              </w:rPr>
              <w:t>3</w:t>
            </w:r>
            <w:r>
              <w:rPr>
                <w:rFonts w:hint="eastAsia" w:ascii="Arial" w:hAnsi="Arial" w:cs="Arial"/>
                <w:szCs w:val="21"/>
              </w:rPr>
              <w:t>分。</w:t>
            </w:r>
          </w:p>
        </w:tc>
      </w:tr>
    </w:tbl>
    <w:p>
      <w:pPr>
        <w:ind w:firstLine="420"/>
        <w:jc w:val="left"/>
        <w:rPr>
          <w:rFonts w:hint="eastAsia"/>
        </w:rPr>
      </w:pPr>
    </w:p>
    <w:p>
      <w:pPr>
        <w:numPr>
          <w:ilvl w:val="0"/>
          <w:numId w:val="3"/>
        </w:numPr>
        <w:spacing w:line="360" w:lineRule="auto"/>
        <w:rPr>
          <w:rFonts w:hint="eastAsia" w:ascii="黑体" w:hAnsi="黑体" w:eastAsia="黑体"/>
          <w:b/>
          <w:sz w:val="28"/>
          <w:lang w:val="en-US" w:eastAsia="zh-CN"/>
        </w:rPr>
      </w:pPr>
      <w:r>
        <w:rPr>
          <w:rFonts w:hint="eastAsia" w:ascii="黑体" w:hAnsi="黑体" w:eastAsia="黑体"/>
          <w:b/>
          <w:sz w:val="28"/>
          <w:lang w:val="en-US" w:eastAsia="zh-CN"/>
        </w:rPr>
        <w:t>比选应答文件</w:t>
      </w:r>
    </w:p>
    <w:p>
      <w:pPr>
        <w:spacing w:line="360" w:lineRule="auto"/>
        <w:ind w:firstLine="420"/>
        <w:rPr>
          <w:rFonts w:ascii="Arial" w:hAnsi="Arial" w:cs="Arial"/>
          <w:sz w:val="24"/>
        </w:rPr>
      </w:pPr>
      <w:r>
        <w:rPr>
          <w:rFonts w:hint="eastAsia" w:ascii="Arial" w:hAnsi="Arial" w:cs="Arial"/>
          <w:sz w:val="24"/>
          <w:lang w:val="en-US" w:eastAsia="zh-CN"/>
        </w:rPr>
        <w:t>比选应答</w:t>
      </w:r>
      <w:r>
        <w:rPr>
          <w:rFonts w:ascii="Arial" w:hAnsi="Arial" w:cs="Arial"/>
          <w:sz w:val="24"/>
        </w:rPr>
        <w:t>文件</w:t>
      </w:r>
      <w:r>
        <w:rPr>
          <w:rFonts w:hint="eastAsia" w:ascii="Arial" w:hAnsi="Arial" w:cs="Arial"/>
          <w:sz w:val="24"/>
          <w:lang w:val="en-US" w:eastAsia="zh-CN"/>
        </w:rPr>
        <w:t>应</w:t>
      </w:r>
      <w:r>
        <w:rPr>
          <w:rFonts w:ascii="Arial" w:hAnsi="Arial" w:cs="Arial"/>
          <w:sz w:val="24"/>
        </w:rPr>
        <w:t>包括下列内容：</w:t>
      </w:r>
    </w:p>
    <w:p>
      <w:pPr>
        <w:spacing w:line="360" w:lineRule="auto"/>
        <w:ind w:firstLine="420"/>
        <w:rPr>
          <w:rFonts w:ascii="Arial" w:hAnsi="Arial" w:cs="Arial"/>
          <w:sz w:val="24"/>
        </w:rPr>
      </w:pPr>
      <w:r>
        <w:rPr>
          <w:rFonts w:ascii="Arial" w:hAnsi="Arial" w:cs="Arial"/>
          <w:sz w:val="24"/>
        </w:rPr>
        <w:t>（1）</w:t>
      </w:r>
      <w:r>
        <w:rPr>
          <w:rFonts w:hint="eastAsia" w:ascii="Arial" w:hAnsi="Arial" w:cs="Arial"/>
          <w:sz w:val="24"/>
          <w:lang w:val="en-US" w:eastAsia="zh-CN"/>
        </w:rPr>
        <w:t>营业执照</w:t>
      </w:r>
      <w:r>
        <w:rPr>
          <w:rFonts w:ascii="Arial" w:hAnsi="Arial" w:cs="Arial"/>
          <w:sz w:val="24"/>
        </w:rPr>
        <w:t>；</w:t>
      </w:r>
    </w:p>
    <w:p>
      <w:pPr>
        <w:spacing w:line="360" w:lineRule="auto"/>
        <w:ind w:firstLine="420"/>
        <w:rPr>
          <w:rFonts w:ascii="Arial" w:hAnsi="Arial" w:cs="Arial"/>
          <w:sz w:val="24"/>
        </w:rPr>
      </w:pPr>
      <w:r>
        <w:rPr>
          <w:rFonts w:ascii="Arial" w:hAnsi="Arial" w:cs="Arial"/>
          <w:sz w:val="24"/>
        </w:rPr>
        <w:t>（2）法定代表人（单位负责人）身份证明或授权委托书；</w:t>
      </w:r>
    </w:p>
    <w:p>
      <w:pPr>
        <w:spacing w:line="360" w:lineRule="auto"/>
        <w:ind w:firstLine="420"/>
        <w:rPr>
          <w:rFonts w:ascii="Arial" w:hAnsi="Arial" w:cs="Arial"/>
          <w:sz w:val="24"/>
        </w:rPr>
      </w:pPr>
      <w:r>
        <w:rPr>
          <w:rFonts w:ascii="Arial" w:hAnsi="Arial" w:cs="Arial"/>
          <w:sz w:val="24"/>
        </w:rPr>
        <w:t>（3）</w:t>
      </w:r>
      <w:r>
        <w:rPr>
          <w:rFonts w:hint="eastAsia" w:ascii="Arial" w:hAnsi="Arial" w:cs="Arial"/>
          <w:sz w:val="24"/>
          <w:lang w:val="en-US" w:eastAsia="zh-CN"/>
        </w:rPr>
        <w:t>等保测评推荐证书</w:t>
      </w:r>
      <w:r>
        <w:rPr>
          <w:rFonts w:ascii="Arial" w:hAnsi="Arial" w:cs="Arial"/>
          <w:sz w:val="24"/>
        </w:rPr>
        <w:t>；</w:t>
      </w:r>
    </w:p>
    <w:p>
      <w:pPr>
        <w:spacing w:line="360" w:lineRule="auto"/>
        <w:ind w:firstLine="420"/>
        <w:rPr>
          <w:rFonts w:ascii="Arial" w:hAnsi="Arial" w:cs="Arial"/>
          <w:sz w:val="24"/>
        </w:rPr>
      </w:pPr>
      <w:r>
        <w:rPr>
          <w:rFonts w:ascii="Arial" w:hAnsi="Arial" w:cs="Arial"/>
          <w:sz w:val="24"/>
        </w:rPr>
        <w:t>（</w:t>
      </w:r>
      <w:r>
        <w:rPr>
          <w:rFonts w:hint="eastAsia" w:ascii="Arial" w:hAnsi="Arial" w:cs="Arial"/>
          <w:sz w:val="24"/>
        </w:rPr>
        <w:t>4</w:t>
      </w:r>
      <w:r>
        <w:rPr>
          <w:rFonts w:ascii="Arial" w:hAnsi="Arial" w:cs="Arial"/>
          <w:sz w:val="24"/>
        </w:rPr>
        <w:t>）</w:t>
      </w:r>
      <w:r>
        <w:rPr>
          <w:rFonts w:hint="eastAsia" w:ascii="Arial" w:hAnsi="Arial" w:cs="Arial"/>
          <w:sz w:val="24"/>
          <w:lang w:val="en-US" w:eastAsia="zh-CN"/>
        </w:rPr>
        <w:t>登记测评案例</w:t>
      </w:r>
      <w:r>
        <w:rPr>
          <w:rFonts w:ascii="Arial" w:hAnsi="Arial" w:cs="Arial"/>
          <w:sz w:val="24"/>
        </w:rPr>
        <w:t>；</w:t>
      </w:r>
    </w:p>
    <w:p>
      <w:pPr>
        <w:spacing w:line="360" w:lineRule="auto"/>
        <w:ind w:firstLine="420"/>
        <w:rPr>
          <w:rFonts w:ascii="Arial" w:hAnsi="Arial" w:cs="Arial"/>
          <w:sz w:val="24"/>
        </w:rPr>
      </w:pPr>
      <w:r>
        <w:rPr>
          <w:rFonts w:ascii="Arial" w:hAnsi="Arial" w:cs="Arial"/>
          <w:sz w:val="24"/>
        </w:rPr>
        <w:t>（</w:t>
      </w:r>
      <w:r>
        <w:rPr>
          <w:rFonts w:hint="eastAsia" w:ascii="Arial" w:hAnsi="Arial" w:cs="Arial"/>
          <w:sz w:val="24"/>
        </w:rPr>
        <w:t>5</w:t>
      </w:r>
      <w:r>
        <w:rPr>
          <w:rFonts w:ascii="Arial" w:hAnsi="Arial" w:cs="Arial"/>
          <w:sz w:val="24"/>
        </w:rPr>
        <w:t>）</w:t>
      </w:r>
      <w:r>
        <w:rPr>
          <w:rFonts w:hint="eastAsia" w:ascii="Arial" w:hAnsi="Arial" w:cs="Arial"/>
          <w:sz w:val="24"/>
          <w:lang w:val="en-US" w:eastAsia="zh-CN"/>
        </w:rPr>
        <w:t>公司情况介绍</w:t>
      </w:r>
      <w:r>
        <w:rPr>
          <w:rFonts w:ascii="Arial" w:hAnsi="Arial" w:cs="Arial"/>
          <w:sz w:val="24"/>
        </w:rPr>
        <w:t>；</w:t>
      </w:r>
    </w:p>
    <w:p>
      <w:pPr>
        <w:spacing w:line="360" w:lineRule="auto"/>
        <w:ind w:firstLine="420"/>
        <w:rPr>
          <w:rFonts w:ascii="Arial" w:hAnsi="Arial" w:cs="Arial"/>
          <w:sz w:val="24"/>
        </w:rPr>
      </w:pPr>
      <w:r>
        <w:rPr>
          <w:rFonts w:ascii="Arial" w:hAnsi="Arial" w:cs="Arial"/>
          <w:sz w:val="24"/>
        </w:rPr>
        <w:t>（</w:t>
      </w:r>
      <w:r>
        <w:rPr>
          <w:rFonts w:hint="eastAsia" w:ascii="Arial" w:hAnsi="Arial" w:cs="Arial"/>
          <w:sz w:val="24"/>
        </w:rPr>
        <w:t>6</w:t>
      </w:r>
      <w:r>
        <w:rPr>
          <w:rFonts w:ascii="Arial" w:hAnsi="Arial" w:cs="Arial"/>
          <w:sz w:val="24"/>
        </w:rPr>
        <w:t>）</w:t>
      </w:r>
      <w:r>
        <w:rPr>
          <w:rFonts w:hint="eastAsia" w:ascii="Arial" w:hAnsi="Arial" w:cs="Arial"/>
          <w:sz w:val="24"/>
          <w:lang w:val="en-US" w:eastAsia="zh-CN"/>
        </w:rPr>
        <w:t>报价函</w:t>
      </w:r>
      <w:r>
        <w:rPr>
          <w:rFonts w:ascii="Arial" w:hAnsi="Arial" w:cs="Arial"/>
          <w:sz w:val="24"/>
        </w:rPr>
        <w:t>；</w:t>
      </w:r>
    </w:p>
    <w:p>
      <w:pPr>
        <w:spacing w:line="360" w:lineRule="auto"/>
        <w:ind w:firstLine="420"/>
        <w:rPr>
          <w:rFonts w:ascii="Arial" w:hAnsi="Arial" w:cs="Arial"/>
          <w:sz w:val="24"/>
        </w:rPr>
      </w:pPr>
      <w:r>
        <w:rPr>
          <w:rFonts w:ascii="Arial" w:hAnsi="Arial" w:cs="Arial"/>
          <w:sz w:val="24"/>
        </w:rPr>
        <w:t>（</w:t>
      </w:r>
      <w:r>
        <w:rPr>
          <w:rFonts w:hint="eastAsia" w:ascii="Arial" w:hAnsi="Arial" w:cs="Arial"/>
          <w:sz w:val="24"/>
        </w:rPr>
        <w:t>7</w:t>
      </w:r>
      <w:r>
        <w:rPr>
          <w:rFonts w:ascii="Arial" w:hAnsi="Arial" w:cs="Arial"/>
          <w:sz w:val="24"/>
        </w:rPr>
        <w:t>）</w:t>
      </w:r>
      <w:r>
        <w:rPr>
          <w:rFonts w:hint="eastAsia" w:ascii="Arial" w:hAnsi="Arial" w:cs="Arial"/>
          <w:sz w:val="24"/>
          <w:lang w:val="en-US" w:eastAsia="zh-CN"/>
        </w:rPr>
        <w:t>测评</w:t>
      </w:r>
      <w:r>
        <w:rPr>
          <w:rFonts w:ascii="Arial" w:hAnsi="Arial" w:cs="Arial"/>
          <w:sz w:val="24"/>
        </w:rPr>
        <w:t>方案；</w:t>
      </w:r>
    </w:p>
    <w:p>
      <w:pPr>
        <w:spacing w:line="360" w:lineRule="auto"/>
        <w:ind w:firstLine="420"/>
        <w:rPr>
          <w:rFonts w:ascii="Arial" w:hAnsi="Arial" w:cs="Arial"/>
          <w:sz w:val="24"/>
        </w:rPr>
      </w:pPr>
      <w:r>
        <w:rPr>
          <w:rFonts w:ascii="Arial" w:hAnsi="Arial" w:cs="Arial"/>
          <w:sz w:val="24"/>
        </w:rPr>
        <w:t>（</w:t>
      </w:r>
      <w:r>
        <w:rPr>
          <w:rFonts w:hint="eastAsia" w:ascii="Arial" w:hAnsi="Arial" w:cs="Arial"/>
          <w:sz w:val="24"/>
        </w:rPr>
        <w:t>8</w:t>
      </w:r>
      <w:r>
        <w:rPr>
          <w:rFonts w:ascii="Arial" w:hAnsi="Arial" w:cs="Arial"/>
          <w:sz w:val="24"/>
        </w:rPr>
        <w:t>）</w:t>
      </w:r>
      <w:r>
        <w:rPr>
          <w:rFonts w:hint="eastAsia" w:ascii="Arial" w:hAnsi="Arial" w:cs="Arial"/>
          <w:sz w:val="24"/>
          <w:lang w:val="en-US" w:eastAsia="zh-CN"/>
        </w:rPr>
        <w:t>整改方案</w:t>
      </w:r>
      <w:r>
        <w:rPr>
          <w:rFonts w:ascii="Arial" w:hAnsi="Arial" w:cs="Arial"/>
          <w:sz w:val="24"/>
        </w:rPr>
        <w:t>；</w:t>
      </w:r>
    </w:p>
    <w:p>
      <w:pPr>
        <w:spacing w:line="360" w:lineRule="auto"/>
        <w:ind w:firstLine="420"/>
        <w:rPr>
          <w:rFonts w:ascii="Arial" w:hAnsi="Arial" w:cs="Arial"/>
          <w:sz w:val="24"/>
        </w:rPr>
      </w:pPr>
      <w:r>
        <w:rPr>
          <w:rFonts w:ascii="Arial" w:hAnsi="Arial" w:cs="Arial"/>
          <w:sz w:val="24"/>
        </w:rPr>
        <w:t>（</w:t>
      </w:r>
      <w:r>
        <w:rPr>
          <w:rFonts w:hint="eastAsia" w:ascii="Arial" w:hAnsi="Arial" w:cs="Arial"/>
          <w:sz w:val="24"/>
        </w:rPr>
        <w:t>9</w:t>
      </w:r>
      <w:r>
        <w:rPr>
          <w:rFonts w:ascii="Arial" w:hAnsi="Arial" w:cs="Arial"/>
          <w:sz w:val="24"/>
        </w:rPr>
        <w:t>）培训方案；</w:t>
      </w:r>
    </w:p>
    <w:p>
      <w:pPr>
        <w:spacing w:line="360" w:lineRule="auto"/>
        <w:ind w:firstLine="420"/>
        <w:rPr>
          <w:rFonts w:ascii="Arial" w:hAnsi="Arial" w:cs="Arial"/>
          <w:sz w:val="24"/>
        </w:rPr>
      </w:pPr>
      <w:r>
        <w:rPr>
          <w:rFonts w:ascii="Arial" w:hAnsi="Arial" w:cs="Arial"/>
          <w:sz w:val="24"/>
        </w:rPr>
        <w:t>（1</w:t>
      </w:r>
      <w:r>
        <w:rPr>
          <w:rFonts w:hint="eastAsia" w:ascii="Arial" w:hAnsi="Arial" w:cs="Arial"/>
          <w:sz w:val="24"/>
        </w:rPr>
        <w:t>0</w:t>
      </w:r>
      <w:r>
        <w:rPr>
          <w:rFonts w:ascii="Arial" w:hAnsi="Arial" w:cs="Arial"/>
          <w:sz w:val="24"/>
        </w:rPr>
        <w:t>）售后服务方案；</w:t>
      </w:r>
    </w:p>
    <w:p>
      <w:pPr>
        <w:spacing w:line="360" w:lineRule="auto"/>
        <w:ind w:firstLine="420"/>
        <w:rPr>
          <w:rFonts w:ascii="Arial" w:hAnsi="Arial" w:cs="Arial"/>
          <w:sz w:val="24"/>
        </w:rPr>
      </w:pPr>
      <w:r>
        <w:rPr>
          <w:rFonts w:ascii="Arial" w:hAnsi="Arial" w:cs="Arial"/>
          <w:sz w:val="24"/>
        </w:rPr>
        <w:t>（1</w:t>
      </w:r>
      <w:r>
        <w:rPr>
          <w:rFonts w:hint="eastAsia" w:ascii="Arial" w:hAnsi="Arial" w:cs="Arial"/>
          <w:sz w:val="24"/>
        </w:rPr>
        <w:t>1</w:t>
      </w:r>
      <w:r>
        <w:rPr>
          <w:rFonts w:ascii="Arial" w:hAnsi="Arial" w:cs="Arial"/>
          <w:sz w:val="24"/>
        </w:rPr>
        <w:t>）项目人员配置；</w:t>
      </w:r>
    </w:p>
    <w:p>
      <w:pPr>
        <w:spacing w:line="360" w:lineRule="auto"/>
        <w:ind w:firstLine="420"/>
        <w:rPr>
          <w:rFonts w:hint="default" w:ascii="Arial" w:hAnsi="Arial" w:cs="Arial"/>
          <w:sz w:val="24"/>
          <w:lang w:val="en-US" w:eastAsia="zh-CN"/>
        </w:rPr>
      </w:pPr>
      <w:r>
        <w:rPr>
          <w:rFonts w:ascii="Arial" w:hAnsi="Arial" w:cs="Arial"/>
          <w:sz w:val="24"/>
        </w:rPr>
        <w:t>（1</w:t>
      </w:r>
      <w:r>
        <w:rPr>
          <w:rFonts w:hint="eastAsia" w:ascii="Arial" w:hAnsi="Arial" w:cs="Arial"/>
          <w:sz w:val="24"/>
        </w:rPr>
        <w:t>2</w:t>
      </w:r>
      <w:r>
        <w:rPr>
          <w:rFonts w:ascii="Arial" w:hAnsi="Arial" w:cs="Arial"/>
          <w:sz w:val="24"/>
        </w:rPr>
        <w:t>）其他规定的资料；</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E464E"/>
    <w:multiLevelType w:val="multilevel"/>
    <w:tmpl w:val="60AE464E"/>
    <w:lvl w:ilvl="0" w:tentative="0">
      <w:start w:val="1"/>
      <w:numFmt w:val="bullet"/>
      <w:lvlText w:val=""/>
      <w:lvlJc w:val="left"/>
      <w:pPr>
        <w:ind w:left="900" w:hanging="420"/>
      </w:pPr>
      <w:rPr>
        <w:rFonts w:hint="default" w:ascii="Wingdings" w:hAnsi="Wingdings"/>
        <w:color w:val="auto"/>
        <w:sz w:val="24"/>
        <w:szCs w:val="24"/>
      </w:rPr>
    </w:lvl>
    <w:lvl w:ilvl="1" w:tentative="0">
      <w:start w:val="1"/>
      <w:numFmt w:val="decimal"/>
      <w:lvlText w:val="%2．"/>
      <w:lvlJc w:val="left"/>
      <w:pPr>
        <w:ind w:left="2160" w:hanging="12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64B5313E"/>
    <w:multiLevelType w:val="multilevel"/>
    <w:tmpl w:val="64B5313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9C3E469"/>
    <w:multiLevelType w:val="singleLevel"/>
    <w:tmpl w:val="69C3E469"/>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13"/>
    <w:rsid w:val="003246D0"/>
    <w:rsid w:val="00530897"/>
    <w:rsid w:val="00922098"/>
    <w:rsid w:val="00A85813"/>
    <w:rsid w:val="00AC7994"/>
    <w:rsid w:val="00B71348"/>
    <w:rsid w:val="03784C51"/>
    <w:rsid w:val="0D5E7383"/>
    <w:rsid w:val="0DAF3C28"/>
    <w:rsid w:val="110C491E"/>
    <w:rsid w:val="11930BCD"/>
    <w:rsid w:val="16857A80"/>
    <w:rsid w:val="180B5554"/>
    <w:rsid w:val="218E5DDF"/>
    <w:rsid w:val="222958F7"/>
    <w:rsid w:val="231501E9"/>
    <w:rsid w:val="23175BE9"/>
    <w:rsid w:val="238F2FC7"/>
    <w:rsid w:val="25DF5CBC"/>
    <w:rsid w:val="28BC1C1D"/>
    <w:rsid w:val="28C96DB6"/>
    <w:rsid w:val="2A056961"/>
    <w:rsid w:val="2B7847DE"/>
    <w:rsid w:val="2CE95012"/>
    <w:rsid w:val="2FAB77F3"/>
    <w:rsid w:val="344A759F"/>
    <w:rsid w:val="3821311F"/>
    <w:rsid w:val="39741C40"/>
    <w:rsid w:val="3B8C0A09"/>
    <w:rsid w:val="3BF35ADD"/>
    <w:rsid w:val="3C2B7324"/>
    <w:rsid w:val="3CCC552D"/>
    <w:rsid w:val="3D173AAA"/>
    <w:rsid w:val="3DA03E20"/>
    <w:rsid w:val="3DB52E9A"/>
    <w:rsid w:val="3DCE1B68"/>
    <w:rsid w:val="3F264A46"/>
    <w:rsid w:val="413C6D62"/>
    <w:rsid w:val="41DE62D4"/>
    <w:rsid w:val="425405EB"/>
    <w:rsid w:val="45F25AA7"/>
    <w:rsid w:val="468E3728"/>
    <w:rsid w:val="46AC5C45"/>
    <w:rsid w:val="484B7A44"/>
    <w:rsid w:val="4BE3617E"/>
    <w:rsid w:val="4F48508D"/>
    <w:rsid w:val="52702DE4"/>
    <w:rsid w:val="543152B9"/>
    <w:rsid w:val="55434289"/>
    <w:rsid w:val="571E1966"/>
    <w:rsid w:val="59F27C9D"/>
    <w:rsid w:val="5A1D7430"/>
    <w:rsid w:val="5B6B0CE8"/>
    <w:rsid w:val="5C223E0A"/>
    <w:rsid w:val="5D6B0626"/>
    <w:rsid w:val="618A2292"/>
    <w:rsid w:val="62E802D4"/>
    <w:rsid w:val="64077E8F"/>
    <w:rsid w:val="645168AF"/>
    <w:rsid w:val="670C5A22"/>
    <w:rsid w:val="6C8D39F9"/>
    <w:rsid w:val="714F06C8"/>
    <w:rsid w:val="718F1C49"/>
    <w:rsid w:val="7241426A"/>
    <w:rsid w:val="747D7B9B"/>
    <w:rsid w:val="754B6D5A"/>
    <w:rsid w:val="75F86659"/>
    <w:rsid w:val="76BB6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2"/>
    <w:uiPriority w:val="0"/>
    <w:rPr>
      <w:rFonts w:ascii="宋体" w:hAnsi="Courier New"/>
      <w:szCs w:val="21"/>
    </w:rPr>
  </w:style>
  <w:style w:type="paragraph" w:styleId="3">
    <w:name w:val="Date"/>
    <w:basedOn w:val="1"/>
    <w:next w:val="1"/>
    <w:link w:val="11"/>
    <w:unhideWhenUsed/>
    <w:uiPriority w:val="99"/>
    <w:pPr>
      <w:ind w:left="100" w:leftChars="2500"/>
    </w:pPr>
    <w:rPr>
      <w:rFonts w:ascii="黑体" w:hAnsi="黑体" w:eastAsia="黑体"/>
      <w:b/>
      <w:sz w:val="32"/>
      <w:szCs w:val="32"/>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uiPriority w:val="99"/>
    <w:rPr>
      <w:sz w:val="18"/>
      <w:szCs w:val="18"/>
    </w:rPr>
  </w:style>
  <w:style w:type="paragraph" w:customStyle="1" w:styleId="10">
    <w:name w:val="封页副题目"/>
    <w:next w:val="1"/>
    <w:uiPriority w:val="0"/>
    <w:pPr>
      <w:spacing w:line="260" w:lineRule="atLeast"/>
      <w:jc w:val="center"/>
    </w:pPr>
    <w:rPr>
      <w:rFonts w:ascii="Times New Roman" w:hAnsi="Times New Roman" w:eastAsia="黑体" w:cs="Times New Roman"/>
      <w:b/>
      <w:spacing w:val="30"/>
      <w:kern w:val="0"/>
      <w:sz w:val="52"/>
      <w:szCs w:val="72"/>
      <w:lang w:val="en-US" w:eastAsia="zh-CN" w:bidi="ar-SA"/>
    </w:rPr>
  </w:style>
  <w:style w:type="character" w:customStyle="1" w:styleId="11">
    <w:name w:val="日期 字符"/>
    <w:basedOn w:val="7"/>
    <w:link w:val="3"/>
    <w:uiPriority w:val="99"/>
    <w:rPr>
      <w:rFonts w:ascii="黑体" w:hAnsi="黑体" w:eastAsia="黑体"/>
      <w:b/>
      <w:sz w:val="32"/>
      <w:szCs w:val="32"/>
    </w:rPr>
  </w:style>
  <w:style w:type="character" w:customStyle="1" w:styleId="12">
    <w:name w:val="纯文本 Char"/>
    <w:link w:val="2"/>
    <w:uiPriority w:val="0"/>
    <w:rPr>
      <w:rFonts w:ascii="宋体" w:hAnsi="Courier New"/>
      <w:szCs w:val="21"/>
    </w:rPr>
  </w:style>
  <w:style w:type="character" w:customStyle="1" w:styleId="13">
    <w:name w:val="纯文本 字符"/>
    <w:basedOn w:val="7"/>
    <w:semiHidden/>
    <w:uiPriority w:val="99"/>
    <w:rPr>
      <w:rFonts w:hAnsi="Courier New" w:cs="Courier New" w:asciiTheme="minorEastAsi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716</Words>
  <Characters>4085</Characters>
  <Lines>34</Lines>
  <Paragraphs>9</Paragraphs>
  <TotalTime>2</TotalTime>
  <ScaleCrop>false</ScaleCrop>
  <LinksUpToDate>false</LinksUpToDate>
  <CharactersWithSpaces>4792</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2018-09-05T08:37:00Z</dcterms:created>
  <dc:creator>杨海华</dc:creator>
  <cp:lastModifiedBy>杨hh</cp:lastModifiedBy>
  <cp:lastPrinted>2019-08-16T04:40:00Z</cp:lastPrinted>
  <dcterms:modified xsi:type="dcterms:W3CDTF">2019-10-14T02:11:07Z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